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72F6" w14:textId="77777777" w:rsidR="00E85E43" w:rsidRPr="00A2086F" w:rsidRDefault="00E85E43">
      <w:pPr>
        <w:spacing w:line="1" w:lineRule="exact"/>
        <w:rPr>
          <w:lang w:val="en-GB"/>
        </w:rPr>
      </w:pPr>
    </w:p>
    <w:p w14:paraId="760B2B18" w14:textId="77777777" w:rsidR="00E85E43" w:rsidRPr="00A2086F" w:rsidRDefault="00A2086F">
      <w:pPr>
        <w:pStyle w:val="Fejlcvagylblc0"/>
        <w:framePr w:w="2702" w:h="509" w:hRule="exact" w:wrap="none" w:vAnchor="page" w:hAnchor="page" w:x="1221" w:y="712"/>
        <w:rPr>
          <w:lang w:val="en-GB"/>
        </w:rPr>
      </w:pPr>
      <w:r w:rsidRPr="00A2086F">
        <w:rPr>
          <w:rStyle w:val="Fejlcvagylblc"/>
          <w:lang w:val="en-GB"/>
        </w:rPr>
        <w:t>Document ID: AT47</w:t>
      </w:r>
    </w:p>
    <w:p w14:paraId="25812EDB" w14:textId="77777777" w:rsidR="00E85E43" w:rsidRPr="00A2086F" w:rsidRDefault="00A2086F">
      <w:pPr>
        <w:pStyle w:val="Fejlcvagylblc0"/>
        <w:framePr w:w="2702" w:h="509" w:hRule="exact" w:wrap="none" w:vAnchor="page" w:hAnchor="page" w:x="1221" w:y="712"/>
        <w:rPr>
          <w:lang w:val="en-GB"/>
        </w:rPr>
      </w:pPr>
      <w:r w:rsidRPr="00A2086F">
        <w:rPr>
          <w:rStyle w:val="Fejlcvagylblc"/>
          <w:lang w:val="en-GB"/>
        </w:rPr>
        <w:t>Document Version: 2p03</w:t>
      </w:r>
    </w:p>
    <w:p w14:paraId="67EF5A34" w14:textId="77777777" w:rsidR="00E85E43" w:rsidRPr="00A2086F" w:rsidRDefault="00A2086F" w:rsidP="00A2086F">
      <w:pPr>
        <w:pStyle w:val="Fejlcvagylblc0"/>
        <w:framePr w:w="4201" w:h="509" w:hRule="exact" w:wrap="none" w:vAnchor="page" w:hAnchor="page" w:x="6901" w:y="712"/>
        <w:jc w:val="right"/>
        <w:rPr>
          <w:lang w:val="en-GB"/>
        </w:rPr>
      </w:pPr>
      <w:r w:rsidRPr="00A2086F">
        <w:rPr>
          <w:rStyle w:val="Fejlcvagylblc"/>
          <w:lang w:val="en-GB"/>
        </w:rPr>
        <w:t>Approved by: Head of the Marketing Department</w:t>
      </w:r>
    </w:p>
    <w:p w14:paraId="64646424" w14:textId="77777777" w:rsidR="00E85E43" w:rsidRPr="00A2086F" w:rsidRDefault="00A2086F" w:rsidP="00A2086F">
      <w:pPr>
        <w:pStyle w:val="Fejlcvagylblc0"/>
        <w:framePr w:w="4201" w:h="509" w:hRule="exact" w:wrap="none" w:vAnchor="page" w:hAnchor="page" w:x="6901" w:y="712"/>
        <w:jc w:val="right"/>
        <w:rPr>
          <w:lang w:val="en-GB"/>
        </w:rPr>
      </w:pPr>
      <w:r w:rsidRPr="00A2086F">
        <w:rPr>
          <w:rStyle w:val="Fejlcvagylblc"/>
          <w:lang w:val="en-GB"/>
        </w:rPr>
        <w:t>Effective from: 12 May 2026 (until revoked)</w:t>
      </w:r>
    </w:p>
    <w:p w14:paraId="7A629E74" w14:textId="60092DF6" w:rsidR="00E85E43" w:rsidRPr="00A2086F" w:rsidRDefault="00A2086F">
      <w:pPr>
        <w:pStyle w:val="Szvegtrzs1"/>
        <w:framePr w:w="9134" w:h="10493" w:hRule="exact" w:wrap="none" w:vAnchor="page" w:hAnchor="page" w:x="1384" w:y="1466"/>
        <w:spacing w:after="0"/>
        <w:jc w:val="center"/>
        <w:rPr>
          <w:lang w:val="en-GB"/>
        </w:rPr>
      </w:pPr>
      <w:r w:rsidRPr="00A2086F">
        <w:rPr>
          <w:rStyle w:val="Szvegtrzs"/>
          <w:b/>
          <w:bCs/>
          <w:lang w:val="en-GB"/>
        </w:rPr>
        <w:t>PRIVACY NOTICE</w:t>
      </w:r>
    </w:p>
    <w:p w14:paraId="3465BF21" w14:textId="579DE93A" w:rsidR="00E85E43" w:rsidRPr="00A2086F" w:rsidRDefault="00A2086F">
      <w:pPr>
        <w:pStyle w:val="Szvegtrzs1"/>
        <w:framePr w:w="9134" w:h="10493" w:hRule="exact" w:wrap="none" w:vAnchor="page" w:hAnchor="page" w:x="1384" w:y="1466"/>
        <w:spacing w:after="0"/>
        <w:jc w:val="center"/>
        <w:rPr>
          <w:lang w:val="en-GB"/>
        </w:rPr>
      </w:pPr>
      <w:r w:rsidRPr="00A2086F">
        <w:rPr>
          <w:rStyle w:val="Szvegtrzs"/>
          <w:b/>
          <w:bCs/>
          <w:lang w:val="en-GB"/>
        </w:rPr>
        <w:t>ON THE PROCESSING OF DATA PROVIDED THROUGH THE CONTACT FORM AVAILABLE</w:t>
      </w:r>
      <w:r w:rsidRPr="00A2086F">
        <w:rPr>
          <w:rStyle w:val="Szvegtrzs"/>
          <w:lang w:val="en-GB"/>
        </w:rPr>
        <w:br/>
      </w:r>
      <w:r w:rsidRPr="00A2086F">
        <w:rPr>
          <w:rStyle w:val="Szvegtrzs"/>
          <w:b/>
          <w:bCs/>
          <w:lang w:val="en-GB"/>
        </w:rPr>
        <w:t>ON THE WEBSITE</w:t>
      </w:r>
    </w:p>
    <w:p w14:paraId="3E62198C" w14:textId="77777777" w:rsidR="00E85E43" w:rsidRPr="00A2086F" w:rsidRDefault="00A2086F">
      <w:pPr>
        <w:pStyle w:val="Cmsor10"/>
        <w:framePr w:w="9134" w:h="10493" w:hRule="exact" w:wrap="none" w:vAnchor="page" w:hAnchor="page" w:x="1384" w:y="1466"/>
        <w:numPr>
          <w:ilvl w:val="0"/>
          <w:numId w:val="1"/>
        </w:numPr>
        <w:tabs>
          <w:tab w:val="left" w:pos="355"/>
        </w:tabs>
        <w:jc w:val="both"/>
        <w:rPr>
          <w:lang w:val="en-GB"/>
        </w:rPr>
      </w:pPr>
      <w:bookmarkStart w:id="0" w:name="bookmark0"/>
      <w:r w:rsidRPr="00A2086F">
        <w:rPr>
          <w:rStyle w:val="Cmsor1"/>
          <w:b/>
          <w:bCs/>
          <w:lang w:val="en-GB"/>
        </w:rPr>
        <w:t>Introduction</w:t>
      </w:r>
      <w:bookmarkEnd w:id="0"/>
    </w:p>
    <w:p w14:paraId="547AF16A" w14:textId="77777777" w:rsidR="00E85E43" w:rsidRPr="00A2086F" w:rsidRDefault="00A2086F">
      <w:pPr>
        <w:pStyle w:val="Szvegtrzs1"/>
        <w:framePr w:w="9134" w:h="10493" w:hRule="exact" w:wrap="none" w:vAnchor="page" w:hAnchor="page" w:x="1384" w:y="1466"/>
        <w:spacing w:after="0"/>
        <w:jc w:val="both"/>
        <w:rPr>
          <w:lang w:val="en-GB"/>
        </w:rPr>
      </w:pPr>
      <w:r w:rsidRPr="00A2086F">
        <w:rPr>
          <w:rStyle w:val="Szvegtrzs"/>
          <w:lang w:val="en-GB"/>
        </w:rPr>
        <w:t>Nitrogénművek considers it a fundamental obligation to fully ensure the right to the protection of personal data in the course of its operations; therefore, we make every effort, using all means available to us and in every possible way, to process your data in full compliance with Regulation (EU) 2016/679 (“General Data Protection Regulation” or “GDPR”) and in accordance with other applicable legislation. Given that one of the principal objectives of the applicable legal framework is to ensure transparency, we hereby wish to inform you about the processing of your personal data through this Privacy Notice.</w:t>
      </w:r>
    </w:p>
    <w:p w14:paraId="0B8C5C62" w14:textId="77777777" w:rsidR="00E85E43" w:rsidRPr="00A2086F" w:rsidRDefault="00A2086F">
      <w:pPr>
        <w:pStyle w:val="Szvegtrzs1"/>
        <w:framePr w:w="9134" w:h="10493" w:hRule="exact" w:wrap="none" w:vAnchor="page" w:hAnchor="page" w:x="1384" w:y="1466"/>
        <w:jc w:val="both"/>
        <w:rPr>
          <w:lang w:val="en-GB"/>
        </w:rPr>
      </w:pPr>
      <w:r w:rsidRPr="00A2086F">
        <w:rPr>
          <w:rStyle w:val="Szvegtrzs"/>
          <w:lang w:val="en-GB"/>
        </w:rPr>
        <w:t>We reserve the right to update and amend this Privacy Notice at specified intervals in order to ensure that the terms set out herein always reflect the current manner in which personal data are processed and fully comply with the applicable legal obligations. If any of the provisions herein change on the basis of the foregoing, we will publish the amended version of the Privacy Notice on our website, and therefore ask you to review the current content of the Privacy Notice in force from time to time.</w:t>
      </w:r>
    </w:p>
    <w:p w14:paraId="22C0CC28" w14:textId="77777777" w:rsidR="00E85E43" w:rsidRPr="00A2086F" w:rsidRDefault="00A2086F">
      <w:pPr>
        <w:pStyle w:val="Cmsor10"/>
        <w:framePr w:w="9134" w:h="10493" w:hRule="exact" w:wrap="none" w:vAnchor="page" w:hAnchor="page" w:x="1384" w:y="1466"/>
        <w:numPr>
          <w:ilvl w:val="0"/>
          <w:numId w:val="1"/>
        </w:numPr>
        <w:tabs>
          <w:tab w:val="left" w:pos="355"/>
        </w:tabs>
        <w:jc w:val="both"/>
        <w:rPr>
          <w:lang w:val="en-GB"/>
        </w:rPr>
      </w:pPr>
      <w:bookmarkStart w:id="1" w:name="bookmark2"/>
      <w:r w:rsidRPr="00A2086F">
        <w:rPr>
          <w:rStyle w:val="Cmsor1"/>
          <w:b/>
          <w:bCs/>
          <w:lang w:val="en-GB"/>
        </w:rPr>
        <w:t>Name and contact details of the Controller:</w:t>
      </w:r>
      <w:bookmarkEnd w:id="1"/>
    </w:p>
    <w:p w14:paraId="5964E8FB" w14:textId="77777777" w:rsidR="00E85E43" w:rsidRPr="00A2086F" w:rsidRDefault="00A2086F">
      <w:pPr>
        <w:pStyle w:val="Cmsor10"/>
        <w:framePr w:w="9134" w:h="10493" w:hRule="exact" w:wrap="none" w:vAnchor="page" w:hAnchor="page" w:x="1384" w:y="1466"/>
        <w:spacing w:after="0"/>
        <w:jc w:val="both"/>
        <w:rPr>
          <w:lang w:val="en-GB"/>
        </w:rPr>
      </w:pPr>
      <w:r w:rsidRPr="00A2086F">
        <w:rPr>
          <w:rStyle w:val="Cmsor1"/>
          <w:b/>
          <w:bCs/>
          <w:lang w:val="en-GB"/>
        </w:rPr>
        <w:t>Nitrogénművek Vegyipari Zártkörűen Működő Részvénytársaság</w:t>
      </w:r>
    </w:p>
    <w:p w14:paraId="0F4AC5D8" w14:textId="77777777" w:rsidR="00E85E43" w:rsidRPr="00A2086F" w:rsidRDefault="00A2086F">
      <w:pPr>
        <w:pStyle w:val="Szvegtrzs1"/>
        <w:framePr w:w="9134" w:h="10493" w:hRule="exact" w:wrap="none" w:vAnchor="page" w:hAnchor="page" w:x="1384" w:y="1466"/>
        <w:spacing w:after="0"/>
        <w:jc w:val="both"/>
        <w:rPr>
          <w:lang w:val="en-GB"/>
        </w:rPr>
      </w:pPr>
      <w:r w:rsidRPr="00A2086F">
        <w:rPr>
          <w:rStyle w:val="Szvegtrzs"/>
          <w:lang w:val="en-GB"/>
        </w:rPr>
        <w:t>Abbreviated name of the Service Provider: Nitrogénművek Zrt.</w:t>
      </w:r>
    </w:p>
    <w:p w14:paraId="4294AF15" w14:textId="77777777" w:rsidR="00E85E43" w:rsidRPr="00A2086F" w:rsidRDefault="00A2086F">
      <w:pPr>
        <w:pStyle w:val="Szvegtrzs1"/>
        <w:framePr w:w="9134" w:h="10493" w:hRule="exact" w:wrap="none" w:vAnchor="page" w:hAnchor="page" w:x="1384" w:y="1466"/>
        <w:spacing w:after="0"/>
        <w:jc w:val="both"/>
        <w:rPr>
          <w:lang w:val="en-GB"/>
        </w:rPr>
      </w:pPr>
      <w:r w:rsidRPr="00A2086F">
        <w:rPr>
          <w:rStyle w:val="Szvegtrzs"/>
          <w:lang w:val="en-GB"/>
        </w:rPr>
        <w:t>Registered office / mailing address of the Service Provider: 8105 Pétfürdő, Hősök tere 14.</w:t>
      </w:r>
    </w:p>
    <w:p w14:paraId="5D0D9AA2" w14:textId="77777777" w:rsidR="00E85E43" w:rsidRPr="00A2086F" w:rsidRDefault="00A2086F">
      <w:pPr>
        <w:pStyle w:val="Szvegtrzs1"/>
        <w:framePr w:w="9134" w:h="10493" w:hRule="exact" w:wrap="none" w:vAnchor="page" w:hAnchor="page" w:x="1384" w:y="1466"/>
        <w:spacing w:after="0"/>
        <w:jc w:val="both"/>
        <w:rPr>
          <w:lang w:val="en-GB"/>
        </w:rPr>
      </w:pPr>
      <w:r w:rsidRPr="00A2086F">
        <w:rPr>
          <w:rStyle w:val="Szvegtrzs"/>
          <w:lang w:val="en-GB"/>
        </w:rPr>
        <w:t>Court of Registration: Court of Company Registration of the Veszprém Regional Court</w:t>
      </w:r>
    </w:p>
    <w:p w14:paraId="6DF2292B" w14:textId="77777777" w:rsidR="00E85E43" w:rsidRPr="00A2086F" w:rsidRDefault="00A2086F">
      <w:pPr>
        <w:pStyle w:val="Szvegtrzs1"/>
        <w:framePr w:w="9134" w:h="10493" w:hRule="exact" w:wrap="none" w:vAnchor="page" w:hAnchor="page" w:x="1384" w:y="1466"/>
        <w:spacing w:after="0"/>
        <w:jc w:val="both"/>
        <w:rPr>
          <w:lang w:val="en-GB"/>
        </w:rPr>
      </w:pPr>
      <w:r w:rsidRPr="00A2086F">
        <w:rPr>
          <w:rStyle w:val="Szvegtrzs"/>
          <w:lang w:val="en-GB"/>
        </w:rPr>
        <w:t>Registration number: Cg. 19-10-000148</w:t>
      </w:r>
    </w:p>
    <w:p w14:paraId="7E223B2C" w14:textId="77777777" w:rsidR="00E85E43" w:rsidRPr="00A2086F" w:rsidRDefault="00A2086F">
      <w:pPr>
        <w:pStyle w:val="Szvegtrzs1"/>
        <w:framePr w:w="9134" w:h="10493" w:hRule="exact" w:wrap="none" w:vAnchor="page" w:hAnchor="page" w:x="1384" w:y="1466"/>
        <w:spacing w:after="0"/>
        <w:jc w:val="both"/>
        <w:rPr>
          <w:lang w:val="en-GB"/>
        </w:rPr>
      </w:pPr>
      <w:r w:rsidRPr="00A2086F">
        <w:rPr>
          <w:rStyle w:val="Szvegtrzs"/>
          <w:lang w:val="en-GB"/>
        </w:rPr>
        <w:t>Tax identification number: 10325957-2-19</w:t>
      </w:r>
    </w:p>
    <w:p w14:paraId="0244FE33" w14:textId="77777777" w:rsidR="00E85E43" w:rsidRPr="00A2086F" w:rsidRDefault="00A2086F">
      <w:pPr>
        <w:pStyle w:val="Szvegtrzs1"/>
        <w:framePr w:w="9134" w:h="10493" w:hRule="exact" w:wrap="none" w:vAnchor="page" w:hAnchor="page" w:x="1384" w:y="1466"/>
        <w:spacing w:after="0"/>
        <w:jc w:val="both"/>
        <w:rPr>
          <w:lang w:val="en-GB"/>
        </w:rPr>
      </w:pPr>
      <w:r w:rsidRPr="00A2086F">
        <w:rPr>
          <w:rStyle w:val="Szvegtrzs"/>
          <w:lang w:val="en-GB"/>
        </w:rPr>
        <w:t>Chamber: Voluntary member of the Veszprém County Chamber of Commerce and Industry</w:t>
      </w:r>
    </w:p>
    <w:p w14:paraId="2BD89DB4" w14:textId="77777777" w:rsidR="00E85E43" w:rsidRPr="00A2086F" w:rsidRDefault="00A2086F">
      <w:pPr>
        <w:pStyle w:val="Szvegtrzs1"/>
        <w:framePr w:w="9134" w:h="10493" w:hRule="exact" w:wrap="none" w:vAnchor="page" w:hAnchor="page" w:x="1384" w:y="1466"/>
        <w:spacing w:after="0"/>
        <w:jc w:val="both"/>
        <w:rPr>
          <w:lang w:val="en-GB"/>
        </w:rPr>
      </w:pPr>
      <w:r w:rsidRPr="00A2086F">
        <w:rPr>
          <w:rStyle w:val="Szvegtrzs"/>
          <w:lang w:val="en-GB"/>
        </w:rPr>
        <w:t>Chamber membership registration number: 245</w:t>
      </w:r>
    </w:p>
    <w:p w14:paraId="3026DE8E" w14:textId="77777777" w:rsidR="00E85E43" w:rsidRPr="00A2086F" w:rsidRDefault="00A2086F">
      <w:pPr>
        <w:pStyle w:val="Szvegtrzs1"/>
        <w:framePr w:w="9134" w:h="10493" w:hRule="exact" w:wrap="none" w:vAnchor="page" w:hAnchor="page" w:x="1384" w:y="1466"/>
        <w:spacing w:after="0"/>
        <w:jc w:val="both"/>
        <w:rPr>
          <w:lang w:val="en-GB"/>
        </w:rPr>
      </w:pPr>
      <w:r w:rsidRPr="00A2086F">
        <w:rPr>
          <w:rStyle w:val="Szvegtrzs"/>
          <w:lang w:val="en-GB"/>
        </w:rPr>
        <w:t xml:space="preserve">Email address: </w:t>
      </w:r>
      <w:hyperlink r:id="rId7" w:history="1">
        <w:r w:rsidRPr="00A2086F">
          <w:rPr>
            <w:rStyle w:val="Szvegtrzs"/>
            <w:lang w:val="en-GB"/>
          </w:rPr>
          <w:t>nrt@nitrogen.hu</w:t>
        </w:r>
      </w:hyperlink>
    </w:p>
    <w:p w14:paraId="5E34C819" w14:textId="77777777" w:rsidR="00E85E43" w:rsidRPr="00A2086F" w:rsidRDefault="00A2086F">
      <w:pPr>
        <w:pStyle w:val="Szvegtrzs1"/>
        <w:framePr w:w="9134" w:h="10493" w:hRule="exact" w:wrap="none" w:vAnchor="page" w:hAnchor="page" w:x="1384" w:y="1466"/>
        <w:spacing w:after="0"/>
        <w:jc w:val="both"/>
        <w:rPr>
          <w:lang w:val="en-GB"/>
        </w:rPr>
      </w:pPr>
      <w:r w:rsidRPr="00A2086F">
        <w:rPr>
          <w:rStyle w:val="Szvegtrzs"/>
          <w:lang w:val="en-GB"/>
        </w:rPr>
        <w:t>Phone: +36 (88) 620-100</w:t>
      </w:r>
    </w:p>
    <w:p w14:paraId="29ED511B" w14:textId="77777777" w:rsidR="00E85E43" w:rsidRPr="00A2086F" w:rsidRDefault="00A2086F">
      <w:pPr>
        <w:pStyle w:val="Szvegtrzs1"/>
        <w:framePr w:w="9134" w:h="10493" w:hRule="exact" w:wrap="none" w:vAnchor="page" w:hAnchor="page" w:x="1384" w:y="1466"/>
        <w:jc w:val="both"/>
        <w:rPr>
          <w:lang w:val="en-GB"/>
        </w:rPr>
      </w:pPr>
      <w:r w:rsidRPr="00A2086F">
        <w:rPr>
          <w:rStyle w:val="Szvegtrzs"/>
          <w:lang w:val="en-GB"/>
        </w:rPr>
        <w:t xml:space="preserve">Website: </w:t>
      </w:r>
      <w:hyperlink r:id="rId8" w:history="1">
        <w:r w:rsidRPr="00A2086F">
          <w:rPr>
            <w:rStyle w:val="Szvegtrzs"/>
            <w:lang w:val="en-GB"/>
          </w:rPr>
          <w:t>www.nitrogen.hu</w:t>
        </w:r>
      </w:hyperlink>
    </w:p>
    <w:p w14:paraId="104D537A" w14:textId="77777777" w:rsidR="00E85E43" w:rsidRPr="00A2086F" w:rsidRDefault="00A2086F">
      <w:pPr>
        <w:pStyle w:val="Szvegtrzs1"/>
        <w:framePr w:w="9134" w:h="10493" w:hRule="exact" w:wrap="none" w:vAnchor="page" w:hAnchor="page" w:x="1384" w:y="1466"/>
        <w:spacing w:after="0"/>
        <w:jc w:val="both"/>
        <w:rPr>
          <w:lang w:val="en-GB"/>
        </w:rPr>
      </w:pPr>
      <w:r w:rsidRPr="00A2086F">
        <w:rPr>
          <w:rStyle w:val="Szvegtrzs"/>
          <w:lang w:val="en-GB"/>
        </w:rPr>
        <w:t>Pursuant to Articles 13 and 14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“GDPR”), the Controller hereby provides data subjects with the following information regarding the processing of personal data:</w:t>
      </w:r>
    </w:p>
    <w:tbl>
      <w:tblPr>
        <w:tblOverlap w:val="never"/>
        <w:tblW w:w="0" w:type="auto"/>
        <w:tblLayout w:type="fixed"/>
        <w:tblCellMar>
          <w:left w:w="10" w:type="dxa"/>
          <w:right w:w="10" w:type="dxa"/>
        </w:tblCellMar>
        <w:tblLook w:val="04A0" w:firstRow="1" w:lastRow="0" w:firstColumn="1" w:lastColumn="0" w:noHBand="0" w:noVBand="1"/>
      </w:tblPr>
      <w:tblGrid>
        <w:gridCol w:w="2126"/>
        <w:gridCol w:w="6955"/>
      </w:tblGrid>
      <w:tr w:rsidR="00E85E43" w:rsidRPr="00A2086F" w14:paraId="5D6F8C01" w14:textId="77777777">
        <w:trPr>
          <w:trHeight w:hRule="exact" w:val="283"/>
        </w:trPr>
        <w:tc>
          <w:tcPr>
            <w:tcW w:w="9081" w:type="dxa"/>
            <w:gridSpan w:val="2"/>
            <w:tcBorders>
              <w:top w:val="single" w:sz="4" w:space="0" w:color="auto"/>
              <w:left w:val="single" w:sz="4" w:space="0" w:color="auto"/>
              <w:right w:val="single" w:sz="4" w:space="0" w:color="auto"/>
            </w:tcBorders>
            <w:shd w:val="clear" w:color="auto" w:fill="8FABDA"/>
            <w:vAlign w:val="bottom"/>
          </w:tcPr>
          <w:p w14:paraId="01881A8F" w14:textId="77777777" w:rsidR="00E85E43" w:rsidRPr="00A2086F" w:rsidRDefault="00A2086F">
            <w:pPr>
              <w:pStyle w:val="Egyb0"/>
              <w:framePr w:w="9082" w:h="3043" w:wrap="none" w:vAnchor="page" w:hAnchor="page" w:x="1413" w:y="12213"/>
              <w:spacing w:after="0"/>
              <w:jc w:val="both"/>
              <w:rPr>
                <w:lang w:val="en-GB"/>
              </w:rPr>
            </w:pPr>
            <w:r w:rsidRPr="00A2086F">
              <w:rPr>
                <w:rStyle w:val="Egyb"/>
                <w:b/>
                <w:bCs/>
                <w:lang w:val="en-GB"/>
              </w:rPr>
              <w:t>Summary table of processing related to data provided during contact requests</w:t>
            </w:r>
          </w:p>
        </w:tc>
      </w:tr>
      <w:tr w:rsidR="00E85E43" w:rsidRPr="00A2086F" w14:paraId="2E940CDF" w14:textId="77777777">
        <w:trPr>
          <w:trHeight w:hRule="exact" w:val="547"/>
        </w:trPr>
        <w:tc>
          <w:tcPr>
            <w:tcW w:w="2126" w:type="dxa"/>
            <w:tcBorders>
              <w:top w:val="single" w:sz="4" w:space="0" w:color="auto"/>
              <w:left w:val="single" w:sz="4" w:space="0" w:color="auto"/>
            </w:tcBorders>
          </w:tcPr>
          <w:p w14:paraId="1B5AFB14" w14:textId="77777777" w:rsidR="00E85E43" w:rsidRPr="00A2086F" w:rsidRDefault="00A2086F">
            <w:pPr>
              <w:pStyle w:val="Egyb0"/>
              <w:framePr w:w="9082" w:h="3043" w:wrap="none" w:vAnchor="page" w:hAnchor="page" w:x="1413" w:y="12213"/>
              <w:spacing w:after="0"/>
              <w:rPr>
                <w:lang w:val="en-GB"/>
              </w:rPr>
            </w:pPr>
            <w:r w:rsidRPr="00A2086F">
              <w:rPr>
                <w:rStyle w:val="Egyb"/>
                <w:b/>
                <w:bCs/>
                <w:lang w:val="en-GB"/>
              </w:rPr>
              <w:t>Purpose of processing</w:t>
            </w:r>
            <w:r w:rsidRPr="00A2086F">
              <w:rPr>
                <w:rStyle w:val="Egyb"/>
                <w:lang w:val="en-GB"/>
              </w:rPr>
              <w:t>:</w:t>
            </w:r>
          </w:p>
        </w:tc>
        <w:tc>
          <w:tcPr>
            <w:tcW w:w="6955" w:type="dxa"/>
            <w:tcBorders>
              <w:top w:val="single" w:sz="4" w:space="0" w:color="auto"/>
              <w:left w:val="single" w:sz="4" w:space="0" w:color="auto"/>
              <w:right w:val="single" w:sz="4" w:space="0" w:color="auto"/>
            </w:tcBorders>
            <w:vAlign w:val="bottom"/>
          </w:tcPr>
          <w:p w14:paraId="0C5EDEBF" w14:textId="06AAB4BD" w:rsidR="00E85E43" w:rsidRPr="00A2086F" w:rsidRDefault="00A2086F">
            <w:pPr>
              <w:pStyle w:val="Egyb0"/>
              <w:framePr w:w="9082" w:h="3043" w:wrap="none" w:vAnchor="page" w:hAnchor="page" w:x="1413" w:y="12213"/>
              <w:spacing w:after="0"/>
              <w:rPr>
                <w:lang w:val="en-GB"/>
              </w:rPr>
            </w:pPr>
            <w:r w:rsidRPr="00A2086F">
              <w:rPr>
                <w:rStyle w:val="Egyb"/>
                <w:lang w:val="en-GB"/>
              </w:rPr>
              <w:t>providing appropriate information to the data subject and maintaining contact in accordance therewith</w:t>
            </w:r>
          </w:p>
        </w:tc>
      </w:tr>
      <w:tr w:rsidR="00E85E43" w:rsidRPr="00A2086F" w14:paraId="75D80741" w14:textId="77777777">
        <w:trPr>
          <w:trHeight w:hRule="exact" w:val="2213"/>
        </w:trPr>
        <w:tc>
          <w:tcPr>
            <w:tcW w:w="2126" w:type="dxa"/>
            <w:tcBorders>
              <w:top w:val="single" w:sz="4" w:space="0" w:color="auto"/>
              <w:left w:val="single" w:sz="4" w:space="0" w:color="auto"/>
              <w:bottom w:val="single" w:sz="4" w:space="0" w:color="auto"/>
            </w:tcBorders>
          </w:tcPr>
          <w:p w14:paraId="00BE856E" w14:textId="77777777" w:rsidR="00E85E43" w:rsidRPr="00A2086F" w:rsidRDefault="00A2086F">
            <w:pPr>
              <w:pStyle w:val="Egyb0"/>
              <w:framePr w:w="9082" w:h="3043" w:wrap="none" w:vAnchor="page" w:hAnchor="page" w:x="1413" w:y="12213"/>
              <w:spacing w:after="0"/>
              <w:rPr>
                <w:lang w:val="en-GB"/>
              </w:rPr>
            </w:pPr>
            <w:r w:rsidRPr="00A2086F">
              <w:rPr>
                <w:rStyle w:val="Egyb"/>
                <w:b/>
                <w:bCs/>
                <w:lang w:val="en-GB"/>
              </w:rPr>
              <w:t>Processors:</w:t>
            </w:r>
          </w:p>
        </w:tc>
        <w:tc>
          <w:tcPr>
            <w:tcW w:w="6955" w:type="dxa"/>
            <w:tcBorders>
              <w:top w:val="single" w:sz="4" w:space="0" w:color="auto"/>
              <w:left w:val="single" w:sz="4" w:space="0" w:color="auto"/>
              <w:bottom w:val="single" w:sz="4" w:space="0" w:color="auto"/>
              <w:right w:val="single" w:sz="4" w:space="0" w:color="auto"/>
            </w:tcBorders>
          </w:tcPr>
          <w:p w14:paraId="57654B53" w14:textId="77777777" w:rsidR="00A2086F" w:rsidRDefault="00A2086F">
            <w:pPr>
              <w:pStyle w:val="Egyb0"/>
              <w:framePr w:w="9082" w:h="3043" w:wrap="none" w:vAnchor="page" w:hAnchor="page" w:x="1413" w:y="12213"/>
              <w:spacing w:after="0"/>
              <w:rPr>
                <w:rStyle w:val="Egyb"/>
                <w:b/>
                <w:bCs/>
                <w:sz w:val="18"/>
                <w:szCs w:val="18"/>
                <w:lang w:val="en-GB"/>
              </w:rPr>
            </w:pPr>
            <w:r w:rsidRPr="00A2086F">
              <w:rPr>
                <w:rStyle w:val="Egyb"/>
                <w:b/>
                <w:bCs/>
                <w:sz w:val="18"/>
                <w:szCs w:val="18"/>
                <w:lang w:val="en-GB"/>
              </w:rPr>
              <w:t>Bistro Reklámügynökség</w:t>
            </w:r>
          </w:p>
          <w:p w14:paraId="28118C34" w14:textId="77140DE0" w:rsidR="00E85E43" w:rsidRPr="00A2086F" w:rsidRDefault="00A2086F">
            <w:pPr>
              <w:pStyle w:val="Egyb0"/>
              <w:framePr w:w="9082" w:h="3043" w:wrap="none" w:vAnchor="page" w:hAnchor="page" w:x="1413" w:y="12213"/>
              <w:spacing w:after="0"/>
              <w:rPr>
                <w:sz w:val="18"/>
                <w:szCs w:val="18"/>
                <w:lang w:val="en-GB"/>
              </w:rPr>
            </w:pPr>
            <w:r w:rsidRPr="00A2086F">
              <w:rPr>
                <w:rStyle w:val="Egyb"/>
                <w:sz w:val="18"/>
                <w:szCs w:val="18"/>
                <w:lang w:val="en-GB"/>
              </w:rPr>
              <w:t>1118 Budapest, Hegyalja út 44.</w:t>
            </w:r>
          </w:p>
          <w:p w14:paraId="24A8DC69" w14:textId="77777777" w:rsidR="00A2086F" w:rsidRDefault="00A2086F" w:rsidP="00A2086F">
            <w:pPr>
              <w:pStyle w:val="Egyb0"/>
              <w:framePr w:w="9082" w:h="3043" w:wrap="none" w:vAnchor="page" w:hAnchor="page" w:x="1413" w:y="12213"/>
              <w:spacing w:after="0"/>
              <w:rPr>
                <w:rStyle w:val="Egyb"/>
                <w:sz w:val="18"/>
                <w:szCs w:val="18"/>
                <w:lang w:val="en-GB"/>
              </w:rPr>
            </w:pPr>
            <w:r w:rsidRPr="00A2086F">
              <w:rPr>
                <w:rStyle w:val="Egyb"/>
                <w:sz w:val="18"/>
                <w:szCs w:val="18"/>
                <w:lang w:val="en-GB"/>
              </w:rPr>
              <w:t>Tax number: 12903003243</w:t>
            </w:r>
          </w:p>
          <w:p w14:paraId="443C660E" w14:textId="139A61DB" w:rsidR="00E85E43" w:rsidRPr="00A2086F" w:rsidRDefault="00A2086F">
            <w:pPr>
              <w:pStyle w:val="Egyb0"/>
              <w:framePr w:w="9082" w:h="3043" w:wrap="none" w:vAnchor="page" w:hAnchor="page" w:x="1413" w:y="12213"/>
              <w:spacing w:after="200"/>
              <w:rPr>
                <w:sz w:val="18"/>
                <w:szCs w:val="18"/>
                <w:lang w:val="en-GB"/>
              </w:rPr>
            </w:pPr>
            <w:r w:rsidRPr="00A2086F">
              <w:rPr>
                <w:rStyle w:val="Egyb"/>
                <w:sz w:val="18"/>
                <w:szCs w:val="18"/>
                <w:lang w:val="en-GB"/>
              </w:rPr>
              <w:t>Company registration number: 01 09 709151</w:t>
            </w:r>
          </w:p>
          <w:p w14:paraId="5C241125" w14:textId="77777777" w:rsidR="00E85E43" w:rsidRPr="00A2086F" w:rsidRDefault="00A2086F">
            <w:pPr>
              <w:pStyle w:val="Egyb0"/>
              <w:framePr w:w="9082" w:h="3043" w:wrap="none" w:vAnchor="page" w:hAnchor="page" w:x="1413" w:y="12213"/>
              <w:spacing w:after="0"/>
              <w:rPr>
                <w:sz w:val="18"/>
                <w:szCs w:val="18"/>
                <w:lang w:val="en-GB"/>
              </w:rPr>
            </w:pPr>
            <w:r w:rsidRPr="00A2086F">
              <w:rPr>
                <w:rStyle w:val="Egyb"/>
                <w:b/>
                <w:bCs/>
                <w:sz w:val="18"/>
                <w:szCs w:val="18"/>
                <w:lang w:val="en-GB"/>
              </w:rPr>
              <w:t>OpenIT Kft.</w:t>
            </w:r>
          </w:p>
          <w:p w14:paraId="576B902F" w14:textId="77777777" w:rsidR="00A2086F" w:rsidRPr="00A2086F" w:rsidRDefault="00A2086F">
            <w:pPr>
              <w:pStyle w:val="Egyb0"/>
              <w:framePr w:w="9082" w:h="3043" w:wrap="none" w:vAnchor="page" w:hAnchor="page" w:x="1413" w:y="12213"/>
              <w:spacing w:after="0"/>
              <w:rPr>
                <w:rStyle w:val="Egyb"/>
                <w:sz w:val="18"/>
                <w:szCs w:val="18"/>
                <w:lang w:val="pl-PL"/>
              </w:rPr>
            </w:pPr>
            <w:r w:rsidRPr="00A2086F">
              <w:rPr>
                <w:rStyle w:val="Egyb"/>
                <w:sz w:val="18"/>
                <w:szCs w:val="18"/>
                <w:lang w:val="pl-PL"/>
              </w:rPr>
              <w:t>1051 Budapest, Szent István tér 11b.</w:t>
            </w:r>
          </w:p>
          <w:p w14:paraId="6EB2A9BB" w14:textId="5A8C6780" w:rsidR="00E85E43" w:rsidRPr="00A2086F" w:rsidRDefault="00A2086F">
            <w:pPr>
              <w:pStyle w:val="Egyb0"/>
              <w:framePr w:w="9082" w:h="3043" w:wrap="none" w:vAnchor="page" w:hAnchor="page" w:x="1413" w:y="12213"/>
              <w:spacing w:after="0"/>
              <w:rPr>
                <w:sz w:val="18"/>
                <w:szCs w:val="18"/>
                <w:lang w:val="en-GB"/>
              </w:rPr>
            </w:pPr>
            <w:r w:rsidRPr="00A2086F">
              <w:rPr>
                <w:rStyle w:val="Egyb"/>
                <w:sz w:val="18"/>
                <w:szCs w:val="18"/>
                <w:lang w:val="en-GB"/>
              </w:rPr>
              <w:t>Tax number: 12688212241</w:t>
            </w:r>
          </w:p>
          <w:p w14:paraId="57265D59" w14:textId="77777777" w:rsidR="00E85E43" w:rsidRPr="00A2086F" w:rsidRDefault="00A2086F">
            <w:pPr>
              <w:pStyle w:val="Egyb0"/>
              <w:framePr w:w="9082" w:h="3043" w:wrap="none" w:vAnchor="page" w:hAnchor="page" w:x="1413" w:y="12213"/>
              <w:spacing w:after="0"/>
              <w:rPr>
                <w:sz w:val="18"/>
                <w:szCs w:val="18"/>
                <w:lang w:val="en-GB"/>
              </w:rPr>
            </w:pPr>
            <w:r w:rsidRPr="00A2086F">
              <w:rPr>
                <w:rStyle w:val="Egyb"/>
                <w:sz w:val="18"/>
                <w:szCs w:val="18"/>
                <w:lang w:val="en-GB"/>
              </w:rPr>
              <w:t>Company registration number: 01 09 698572</w:t>
            </w:r>
          </w:p>
        </w:tc>
      </w:tr>
    </w:tbl>
    <w:p w14:paraId="7B9B4657" w14:textId="77777777" w:rsidR="00E85E43" w:rsidRPr="00A2086F" w:rsidRDefault="00E85E43">
      <w:pPr>
        <w:spacing w:line="1" w:lineRule="exact"/>
        <w:rPr>
          <w:lang w:val="en-GB"/>
        </w:rPr>
        <w:sectPr w:rsidR="00E85E43" w:rsidRPr="00A2086F">
          <w:pgSz w:w="11900" w:h="16840"/>
          <w:pgMar w:top="418" w:right="360" w:bottom="360" w:left="360" w:header="0" w:footer="3" w:gutter="0"/>
          <w:cols w:space="720"/>
          <w:noEndnote/>
          <w:docGrid w:linePitch="360"/>
        </w:sectPr>
      </w:pPr>
    </w:p>
    <w:p w14:paraId="0EE67005" w14:textId="77777777" w:rsidR="00E85E43" w:rsidRPr="00A2086F" w:rsidRDefault="00E85E43">
      <w:pPr>
        <w:spacing w:line="1" w:lineRule="exact"/>
        <w:rPr>
          <w:lang w:val="en-GB"/>
        </w:rPr>
      </w:pPr>
    </w:p>
    <w:p w14:paraId="39641F66" w14:textId="77777777" w:rsidR="00E85E43" w:rsidRPr="00A2086F" w:rsidRDefault="00A2086F">
      <w:pPr>
        <w:pStyle w:val="Fejlcvagylblc0"/>
        <w:framePr w:w="2702" w:h="509" w:hRule="exact" w:wrap="none" w:vAnchor="page" w:hAnchor="page" w:x="1223" w:y="712"/>
        <w:rPr>
          <w:lang w:val="en-GB"/>
        </w:rPr>
      </w:pPr>
      <w:r w:rsidRPr="00A2086F">
        <w:rPr>
          <w:rStyle w:val="Fejlcvagylblc"/>
          <w:lang w:val="en-GB"/>
        </w:rPr>
        <w:t>Document ID: AT47</w:t>
      </w:r>
    </w:p>
    <w:p w14:paraId="51154CA4" w14:textId="77777777" w:rsidR="00E85E43" w:rsidRPr="00A2086F" w:rsidRDefault="00A2086F">
      <w:pPr>
        <w:pStyle w:val="Fejlcvagylblc0"/>
        <w:framePr w:w="2702" w:h="509" w:hRule="exact" w:wrap="none" w:vAnchor="page" w:hAnchor="page" w:x="1223" w:y="712"/>
        <w:rPr>
          <w:lang w:val="en-GB"/>
        </w:rPr>
      </w:pPr>
      <w:r w:rsidRPr="00A2086F">
        <w:rPr>
          <w:rStyle w:val="Fejlcvagylblc"/>
          <w:lang w:val="en-GB"/>
        </w:rPr>
        <w:t>Document Version: 2p03</w:t>
      </w:r>
    </w:p>
    <w:p w14:paraId="392A1F72" w14:textId="77777777" w:rsidR="00E85E43" w:rsidRPr="00A2086F" w:rsidRDefault="00A2086F" w:rsidP="00A2086F">
      <w:pPr>
        <w:pStyle w:val="Fejlcvagylblc0"/>
        <w:framePr w:w="4576" w:h="509" w:hRule="exact" w:wrap="none" w:vAnchor="page" w:hAnchor="page" w:x="6526" w:y="712"/>
        <w:jc w:val="right"/>
        <w:rPr>
          <w:lang w:val="en-GB"/>
        </w:rPr>
      </w:pPr>
      <w:r w:rsidRPr="00A2086F">
        <w:rPr>
          <w:rStyle w:val="Fejlcvagylblc"/>
          <w:lang w:val="en-GB"/>
        </w:rPr>
        <w:t>Approved by: Head of the Marketing Department</w:t>
      </w:r>
    </w:p>
    <w:p w14:paraId="20053986" w14:textId="77777777" w:rsidR="00E85E43" w:rsidRPr="00A2086F" w:rsidRDefault="00A2086F" w:rsidP="00A2086F">
      <w:pPr>
        <w:pStyle w:val="Fejlcvagylblc0"/>
        <w:framePr w:w="4576" w:h="509" w:hRule="exact" w:wrap="none" w:vAnchor="page" w:hAnchor="page" w:x="6526" w:y="712"/>
        <w:jc w:val="right"/>
        <w:rPr>
          <w:lang w:val="en-GB"/>
        </w:rPr>
      </w:pPr>
      <w:r w:rsidRPr="00A2086F">
        <w:rPr>
          <w:rStyle w:val="Fejlcvagylblc"/>
          <w:lang w:val="en-GB"/>
        </w:rPr>
        <w:t>Effective from: 12 May 2026 (until revoked)</w:t>
      </w:r>
    </w:p>
    <w:tbl>
      <w:tblPr>
        <w:tblOverlap w:val="never"/>
        <w:tblW w:w="0" w:type="auto"/>
        <w:tblLayout w:type="fixed"/>
        <w:tblCellMar>
          <w:left w:w="10" w:type="dxa"/>
          <w:right w:w="10" w:type="dxa"/>
        </w:tblCellMar>
        <w:tblLook w:val="04A0" w:firstRow="1" w:lastRow="0" w:firstColumn="1" w:lastColumn="0" w:noHBand="0" w:noVBand="1"/>
      </w:tblPr>
      <w:tblGrid>
        <w:gridCol w:w="2126"/>
        <w:gridCol w:w="2496"/>
        <w:gridCol w:w="2616"/>
        <w:gridCol w:w="1843"/>
      </w:tblGrid>
      <w:tr w:rsidR="00E85E43" w:rsidRPr="00A2086F" w14:paraId="3D07628A" w14:textId="77777777">
        <w:trPr>
          <w:trHeight w:hRule="exact" w:val="504"/>
        </w:trPr>
        <w:tc>
          <w:tcPr>
            <w:tcW w:w="2126" w:type="dxa"/>
            <w:tcBorders>
              <w:top w:val="single" w:sz="4" w:space="0" w:color="auto"/>
              <w:left w:val="single" w:sz="4" w:space="0" w:color="auto"/>
            </w:tcBorders>
          </w:tcPr>
          <w:p w14:paraId="037C8CBF" w14:textId="77777777" w:rsidR="00E85E43" w:rsidRPr="00A2086F" w:rsidRDefault="00E85E43">
            <w:pPr>
              <w:framePr w:w="9082" w:h="6509" w:wrap="none" w:vAnchor="page" w:hAnchor="page" w:x="1415" w:y="1466"/>
              <w:rPr>
                <w:sz w:val="10"/>
                <w:szCs w:val="10"/>
                <w:lang w:val="en-GB"/>
              </w:rPr>
            </w:pPr>
          </w:p>
        </w:tc>
        <w:tc>
          <w:tcPr>
            <w:tcW w:w="6955" w:type="dxa"/>
            <w:gridSpan w:val="3"/>
            <w:tcBorders>
              <w:top w:val="single" w:sz="4" w:space="0" w:color="auto"/>
              <w:left w:val="single" w:sz="4" w:space="0" w:color="auto"/>
              <w:right w:val="single" w:sz="4" w:space="0" w:color="auto"/>
            </w:tcBorders>
          </w:tcPr>
          <w:p w14:paraId="5C301E4D" w14:textId="77777777" w:rsidR="00E85E43" w:rsidRPr="00A2086F" w:rsidRDefault="00E85E43">
            <w:pPr>
              <w:framePr w:w="9082" w:h="6509" w:wrap="none" w:vAnchor="page" w:hAnchor="page" w:x="1415" w:y="1466"/>
              <w:rPr>
                <w:sz w:val="10"/>
                <w:szCs w:val="10"/>
                <w:lang w:val="en-GB"/>
              </w:rPr>
            </w:pPr>
          </w:p>
        </w:tc>
      </w:tr>
      <w:tr w:rsidR="00E85E43" w:rsidRPr="00A2086F" w14:paraId="0FCB8F94" w14:textId="77777777">
        <w:trPr>
          <w:trHeight w:hRule="exact" w:val="816"/>
        </w:trPr>
        <w:tc>
          <w:tcPr>
            <w:tcW w:w="2126" w:type="dxa"/>
            <w:tcBorders>
              <w:top w:val="single" w:sz="4" w:space="0" w:color="auto"/>
              <w:left w:val="single" w:sz="4" w:space="0" w:color="auto"/>
            </w:tcBorders>
          </w:tcPr>
          <w:p w14:paraId="5F5C178E" w14:textId="77777777" w:rsidR="00E85E43" w:rsidRPr="00A2086F" w:rsidRDefault="00A2086F">
            <w:pPr>
              <w:pStyle w:val="Egyb0"/>
              <w:framePr w:w="9082" w:h="6509" w:wrap="none" w:vAnchor="page" w:hAnchor="page" w:x="1415" w:y="1466"/>
              <w:spacing w:after="0"/>
              <w:rPr>
                <w:lang w:val="en-GB"/>
              </w:rPr>
            </w:pPr>
            <w:r w:rsidRPr="00A2086F">
              <w:rPr>
                <w:rStyle w:val="Egyb"/>
                <w:b/>
                <w:bCs/>
                <w:lang w:val="en-GB"/>
              </w:rPr>
              <w:t>Data subjects:</w:t>
            </w:r>
          </w:p>
        </w:tc>
        <w:tc>
          <w:tcPr>
            <w:tcW w:w="6955" w:type="dxa"/>
            <w:gridSpan w:val="3"/>
            <w:tcBorders>
              <w:top w:val="single" w:sz="4" w:space="0" w:color="auto"/>
              <w:left w:val="single" w:sz="4" w:space="0" w:color="auto"/>
              <w:right w:val="single" w:sz="4" w:space="0" w:color="auto"/>
            </w:tcBorders>
          </w:tcPr>
          <w:p w14:paraId="6B00911A" w14:textId="24525C46" w:rsidR="00E85E43" w:rsidRPr="00A2086F" w:rsidRDefault="00A2086F">
            <w:pPr>
              <w:pStyle w:val="Egyb0"/>
              <w:framePr w:w="9082" w:h="6509" w:wrap="none" w:vAnchor="page" w:hAnchor="page" w:x="1415" w:y="1466"/>
              <w:spacing w:after="0"/>
              <w:rPr>
                <w:lang w:val="en-GB"/>
              </w:rPr>
            </w:pPr>
            <w:r w:rsidRPr="00A2086F">
              <w:rPr>
                <w:rStyle w:val="Egyb"/>
                <w:lang w:val="en-GB"/>
              </w:rPr>
              <w:t>Any natural person, including representatives acting on behalf of an organisation, who contacts the Controller and requests/receives information from the Controller</w:t>
            </w:r>
          </w:p>
        </w:tc>
      </w:tr>
      <w:tr w:rsidR="00E85E43" w:rsidRPr="00A2086F" w14:paraId="2BDEC450" w14:textId="77777777">
        <w:trPr>
          <w:trHeight w:hRule="exact" w:val="278"/>
        </w:trPr>
        <w:tc>
          <w:tcPr>
            <w:tcW w:w="2126" w:type="dxa"/>
            <w:tcBorders>
              <w:top w:val="single" w:sz="4" w:space="0" w:color="auto"/>
              <w:left w:val="single" w:sz="4" w:space="0" w:color="auto"/>
            </w:tcBorders>
          </w:tcPr>
          <w:p w14:paraId="0F4FE16F" w14:textId="77777777" w:rsidR="00E85E43" w:rsidRPr="00A2086F" w:rsidRDefault="00A2086F">
            <w:pPr>
              <w:pStyle w:val="Egyb0"/>
              <w:framePr w:w="9082" w:h="6509" w:wrap="none" w:vAnchor="page" w:hAnchor="page" w:x="1415" w:y="1466"/>
              <w:spacing w:after="0"/>
              <w:rPr>
                <w:lang w:val="en-GB"/>
              </w:rPr>
            </w:pPr>
            <w:r w:rsidRPr="00A2086F">
              <w:rPr>
                <w:rStyle w:val="Egyb"/>
                <w:b/>
                <w:bCs/>
                <w:lang w:val="en-GB"/>
              </w:rPr>
              <w:t>Source:</w:t>
            </w:r>
          </w:p>
        </w:tc>
        <w:tc>
          <w:tcPr>
            <w:tcW w:w="6955" w:type="dxa"/>
            <w:gridSpan w:val="3"/>
            <w:tcBorders>
              <w:top w:val="single" w:sz="4" w:space="0" w:color="auto"/>
              <w:left w:val="single" w:sz="4" w:space="0" w:color="auto"/>
              <w:right w:val="single" w:sz="4" w:space="0" w:color="auto"/>
            </w:tcBorders>
          </w:tcPr>
          <w:p w14:paraId="06880970" w14:textId="77777777" w:rsidR="00E85E43" w:rsidRPr="00A2086F" w:rsidRDefault="00A2086F">
            <w:pPr>
              <w:pStyle w:val="Egyb0"/>
              <w:framePr w:w="9082" w:h="6509" w:wrap="none" w:vAnchor="page" w:hAnchor="page" w:x="1415" w:y="1466"/>
              <w:spacing w:after="0"/>
              <w:rPr>
                <w:lang w:val="en-GB"/>
              </w:rPr>
            </w:pPr>
            <w:r w:rsidRPr="00A2086F">
              <w:rPr>
                <w:rStyle w:val="Egyb"/>
                <w:lang w:val="en-GB"/>
              </w:rPr>
              <w:t>data subjects</w:t>
            </w:r>
          </w:p>
        </w:tc>
      </w:tr>
      <w:tr w:rsidR="00E85E43" w:rsidRPr="00A2086F" w14:paraId="65C29B08" w14:textId="77777777">
        <w:trPr>
          <w:trHeight w:hRule="exact" w:val="278"/>
        </w:trPr>
        <w:tc>
          <w:tcPr>
            <w:tcW w:w="2126" w:type="dxa"/>
            <w:tcBorders>
              <w:top w:val="single" w:sz="4" w:space="0" w:color="auto"/>
              <w:left w:val="single" w:sz="4" w:space="0" w:color="auto"/>
            </w:tcBorders>
          </w:tcPr>
          <w:p w14:paraId="1C1DF480" w14:textId="77777777" w:rsidR="00E85E43" w:rsidRPr="00A2086F" w:rsidRDefault="00A2086F">
            <w:pPr>
              <w:pStyle w:val="Egyb0"/>
              <w:framePr w:w="9082" w:h="6509" w:wrap="none" w:vAnchor="page" w:hAnchor="page" w:x="1415" w:y="1466"/>
              <w:spacing w:after="0"/>
              <w:rPr>
                <w:lang w:val="en-GB"/>
              </w:rPr>
            </w:pPr>
            <w:r w:rsidRPr="00A2086F">
              <w:rPr>
                <w:rStyle w:val="Egyb"/>
                <w:b/>
                <w:bCs/>
                <w:lang w:val="en-GB"/>
              </w:rPr>
              <w:t>Categories of data</w:t>
            </w:r>
          </w:p>
        </w:tc>
        <w:tc>
          <w:tcPr>
            <w:tcW w:w="2496" w:type="dxa"/>
            <w:tcBorders>
              <w:top w:val="single" w:sz="4" w:space="0" w:color="auto"/>
              <w:left w:val="single" w:sz="4" w:space="0" w:color="auto"/>
            </w:tcBorders>
          </w:tcPr>
          <w:p w14:paraId="44399842" w14:textId="77777777" w:rsidR="00E85E43" w:rsidRPr="00A2086F" w:rsidRDefault="00A2086F">
            <w:pPr>
              <w:pStyle w:val="Egyb0"/>
              <w:framePr w:w="9082" w:h="6509" w:wrap="none" w:vAnchor="page" w:hAnchor="page" w:x="1415" w:y="1466"/>
              <w:spacing w:after="0"/>
              <w:rPr>
                <w:lang w:val="en-GB"/>
              </w:rPr>
            </w:pPr>
            <w:r w:rsidRPr="00A2086F">
              <w:rPr>
                <w:rStyle w:val="Egyb"/>
                <w:b/>
                <w:bCs/>
                <w:lang w:val="en-GB"/>
              </w:rPr>
              <w:t>Purpose</w:t>
            </w:r>
          </w:p>
        </w:tc>
        <w:tc>
          <w:tcPr>
            <w:tcW w:w="2616" w:type="dxa"/>
            <w:tcBorders>
              <w:top w:val="single" w:sz="4" w:space="0" w:color="auto"/>
              <w:left w:val="single" w:sz="4" w:space="0" w:color="auto"/>
            </w:tcBorders>
          </w:tcPr>
          <w:p w14:paraId="7092F9EF" w14:textId="77777777" w:rsidR="00E85E43" w:rsidRPr="00A2086F" w:rsidRDefault="00A2086F">
            <w:pPr>
              <w:pStyle w:val="Egyb0"/>
              <w:framePr w:w="9082" w:h="6509" w:wrap="none" w:vAnchor="page" w:hAnchor="page" w:x="1415" w:y="1466"/>
              <w:spacing w:after="0"/>
              <w:rPr>
                <w:lang w:val="en-GB"/>
              </w:rPr>
            </w:pPr>
            <w:r w:rsidRPr="00A2086F">
              <w:rPr>
                <w:rStyle w:val="Egyb"/>
                <w:b/>
                <w:bCs/>
                <w:lang w:val="en-GB"/>
              </w:rPr>
              <w:t>Legal basis</w:t>
            </w:r>
          </w:p>
        </w:tc>
        <w:tc>
          <w:tcPr>
            <w:tcW w:w="1843" w:type="dxa"/>
            <w:tcBorders>
              <w:top w:val="single" w:sz="4" w:space="0" w:color="auto"/>
              <w:left w:val="single" w:sz="4" w:space="0" w:color="auto"/>
              <w:right w:val="single" w:sz="4" w:space="0" w:color="auto"/>
            </w:tcBorders>
          </w:tcPr>
          <w:p w14:paraId="518B3D7C" w14:textId="77777777" w:rsidR="00E85E43" w:rsidRPr="00A2086F" w:rsidRDefault="00A2086F">
            <w:pPr>
              <w:pStyle w:val="Egyb0"/>
              <w:framePr w:w="9082" w:h="6509" w:wrap="none" w:vAnchor="page" w:hAnchor="page" w:x="1415" w:y="1466"/>
              <w:spacing w:after="0"/>
              <w:rPr>
                <w:lang w:val="en-GB"/>
              </w:rPr>
            </w:pPr>
            <w:r w:rsidRPr="00A2086F">
              <w:rPr>
                <w:rStyle w:val="Egyb"/>
                <w:b/>
                <w:bCs/>
                <w:lang w:val="en-GB"/>
              </w:rPr>
              <w:t>Retention period</w:t>
            </w:r>
          </w:p>
        </w:tc>
      </w:tr>
      <w:tr w:rsidR="00E85E43" w:rsidRPr="00A2086F" w14:paraId="2864AA1F" w14:textId="77777777">
        <w:trPr>
          <w:trHeight w:hRule="exact" w:val="278"/>
        </w:trPr>
        <w:tc>
          <w:tcPr>
            <w:tcW w:w="2126" w:type="dxa"/>
            <w:tcBorders>
              <w:top w:val="single" w:sz="4" w:space="0" w:color="auto"/>
              <w:left w:val="single" w:sz="4" w:space="0" w:color="auto"/>
            </w:tcBorders>
          </w:tcPr>
          <w:p w14:paraId="75C26BB4" w14:textId="77777777" w:rsidR="00E85E43" w:rsidRPr="00A2086F" w:rsidRDefault="00A2086F">
            <w:pPr>
              <w:pStyle w:val="Egyb0"/>
              <w:framePr w:w="9082" w:h="6509" w:wrap="none" w:vAnchor="page" w:hAnchor="page" w:x="1415" w:y="1466"/>
              <w:spacing w:after="0"/>
              <w:rPr>
                <w:lang w:val="en-GB"/>
              </w:rPr>
            </w:pPr>
            <w:r w:rsidRPr="00A2086F">
              <w:rPr>
                <w:rStyle w:val="Egyb"/>
                <w:lang w:val="en-GB"/>
              </w:rPr>
              <w:t>name</w:t>
            </w:r>
          </w:p>
        </w:tc>
        <w:tc>
          <w:tcPr>
            <w:tcW w:w="2496" w:type="dxa"/>
            <w:tcBorders>
              <w:top w:val="single" w:sz="4" w:space="0" w:color="auto"/>
              <w:left w:val="single" w:sz="4" w:space="0" w:color="auto"/>
            </w:tcBorders>
          </w:tcPr>
          <w:p w14:paraId="3EAAC483" w14:textId="77777777" w:rsidR="00E85E43" w:rsidRPr="00A2086F" w:rsidRDefault="00A2086F">
            <w:pPr>
              <w:pStyle w:val="Egyb0"/>
              <w:framePr w:w="9082" w:h="6509" w:wrap="none" w:vAnchor="page" w:hAnchor="page" w:x="1415" w:y="1466"/>
              <w:spacing w:after="0"/>
              <w:rPr>
                <w:lang w:val="en-GB"/>
              </w:rPr>
            </w:pPr>
            <w:r w:rsidRPr="00A2086F">
              <w:rPr>
                <w:rStyle w:val="Egyb"/>
                <w:lang w:val="en-GB"/>
              </w:rPr>
              <w:t>identification</w:t>
            </w:r>
          </w:p>
        </w:tc>
        <w:tc>
          <w:tcPr>
            <w:tcW w:w="2616" w:type="dxa"/>
            <w:vMerge w:val="restart"/>
            <w:tcBorders>
              <w:top w:val="single" w:sz="4" w:space="0" w:color="auto"/>
              <w:left w:val="single" w:sz="4" w:space="0" w:color="auto"/>
            </w:tcBorders>
          </w:tcPr>
          <w:p w14:paraId="3841B3A0" w14:textId="77777777" w:rsidR="00E85E43" w:rsidRPr="00A2086F" w:rsidRDefault="00A2086F">
            <w:pPr>
              <w:pStyle w:val="Egyb0"/>
              <w:framePr w:w="9082" w:h="6509" w:wrap="none" w:vAnchor="page" w:hAnchor="page" w:x="1415" w:y="1466"/>
              <w:spacing w:after="0"/>
              <w:rPr>
                <w:lang w:val="en-GB"/>
              </w:rPr>
            </w:pPr>
            <w:r w:rsidRPr="00A2086F">
              <w:rPr>
                <w:rStyle w:val="Egyb"/>
                <w:lang w:val="en-GB"/>
              </w:rPr>
              <w:t>consent (Article 6(1)(a) GDPR)</w:t>
            </w:r>
          </w:p>
        </w:tc>
        <w:tc>
          <w:tcPr>
            <w:tcW w:w="1843" w:type="dxa"/>
            <w:vMerge w:val="restart"/>
            <w:tcBorders>
              <w:top w:val="single" w:sz="4" w:space="0" w:color="auto"/>
              <w:left w:val="single" w:sz="4" w:space="0" w:color="auto"/>
              <w:right w:val="single" w:sz="4" w:space="0" w:color="auto"/>
            </w:tcBorders>
          </w:tcPr>
          <w:p w14:paraId="4B94D964" w14:textId="77777777" w:rsidR="00E85E43" w:rsidRPr="00A2086F" w:rsidRDefault="00A2086F">
            <w:pPr>
              <w:pStyle w:val="Egyb0"/>
              <w:framePr w:w="9082" w:h="6509" w:wrap="none" w:vAnchor="page" w:hAnchor="page" w:x="1415" w:y="1466"/>
              <w:spacing w:after="0"/>
              <w:rPr>
                <w:lang w:val="en-GB"/>
              </w:rPr>
            </w:pPr>
            <w:r w:rsidRPr="00A2086F">
              <w:rPr>
                <w:rStyle w:val="Egyb"/>
                <w:lang w:val="en-GB"/>
              </w:rPr>
              <w:t>until the purpose has been fulfilled or, earlier, until a request for erasure is submitted</w:t>
            </w:r>
          </w:p>
        </w:tc>
      </w:tr>
      <w:tr w:rsidR="00E85E43" w:rsidRPr="00A2086F" w14:paraId="7CE4571F" w14:textId="77777777">
        <w:trPr>
          <w:trHeight w:hRule="exact" w:val="547"/>
        </w:trPr>
        <w:tc>
          <w:tcPr>
            <w:tcW w:w="2126" w:type="dxa"/>
            <w:tcBorders>
              <w:top w:val="single" w:sz="4" w:space="0" w:color="auto"/>
              <w:left w:val="single" w:sz="4" w:space="0" w:color="auto"/>
            </w:tcBorders>
          </w:tcPr>
          <w:p w14:paraId="38DF241B" w14:textId="77777777" w:rsidR="00E85E43" w:rsidRPr="00A2086F" w:rsidRDefault="00A2086F">
            <w:pPr>
              <w:pStyle w:val="Egyb0"/>
              <w:framePr w:w="9082" w:h="6509" w:wrap="none" w:vAnchor="page" w:hAnchor="page" w:x="1415" w:y="1466"/>
              <w:spacing w:after="0"/>
              <w:rPr>
                <w:lang w:val="en-GB"/>
              </w:rPr>
            </w:pPr>
            <w:r w:rsidRPr="00A2086F">
              <w:rPr>
                <w:rStyle w:val="Egyb"/>
                <w:lang w:val="en-GB"/>
              </w:rPr>
              <w:t>email address</w:t>
            </w:r>
          </w:p>
        </w:tc>
        <w:tc>
          <w:tcPr>
            <w:tcW w:w="2496" w:type="dxa"/>
            <w:tcBorders>
              <w:top w:val="single" w:sz="4" w:space="0" w:color="auto"/>
              <w:left w:val="single" w:sz="4" w:space="0" w:color="auto"/>
            </w:tcBorders>
          </w:tcPr>
          <w:p w14:paraId="6378E62A" w14:textId="77777777" w:rsidR="00E85E43" w:rsidRPr="00A2086F" w:rsidRDefault="00A2086F">
            <w:pPr>
              <w:pStyle w:val="Egyb0"/>
              <w:framePr w:w="9082" w:h="6509" w:wrap="none" w:vAnchor="page" w:hAnchor="page" w:x="1415" w:y="1466"/>
              <w:spacing w:after="0"/>
              <w:rPr>
                <w:lang w:val="en-GB"/>
              </w:rPr>
            </w:pPr>
            <w:r w:rsidRPr="00A2086F">
              <w:rPr>
                <w:rStyle w:val="Egyb"/>
                <w:lang w:val="en-GB"/>
              </w:rPr>
              <w:t>identification, contact details</w:t>
            </w:r>
          </w:p>
        </w:tc>
        <w:tc>
          <w:tcPr>
            <w:tcW w:w="2616" w:type="dxa"/>
            <w:vMerge/>
            <w:tcBorders>
              <w:left w:val="single" w:sz="4" w:space="0" w:color="auto"/>
            </w:tcBorders>
          </w:tcPr>
          <w:p w14:paraId="3022C89A" w14:textId="77777777" w:rsidR="00E85E43" w:rsidRPr="00A2086F" w:rsidRDefault="00E85E43">
            <w:pPr>
              <w:framePr w:w="9082" w:h="6509" w:wrap="none" w:vAnchor="page" w:hAnchor="page" w:x="1415" w:y="1466"/>
              <w:rPr>
                <w:lang w:val="en-GB"/>
              </w:rPr>
            </w:pPr>
          </w:p>
        </w:tc>
        <w:tc>
          <w:tcPr>
            <w:tcW w:w="1843" w:type="dxa"/>
            <w:vMerge/>
            <w:tcBorders>
              <w:left w:val="single" w:sz="4" w:space="0" w:color="auto"/>
              <w:right w:val="single" w:sz="4" w:space="0" w:color="auto"/>
            </w:tcBorders>
          </w:tcPr>
          <w:p w14:paraId="417692A3" w14:textId="77777777" w:rsidR="00E85E43" w:rsidRPr="00A2086F" w:rsidRDefault="00E85E43">
            <w:pPr>
              <w:framePr w:w="9082" w:h="6509" w:wrap="none" w:vAnchor="page" w:hAnchor="page" w:x="1415" w:y="1466"/>
              <w:rPr>
                <w:lang w:val="en-GB"/>
              </w:rPr>
            </w:pPr>
          </w:p>
        </w:tc>
      </w:tr>
      <w:tr w:rsidR="00E85E43" w:rsidRPr="00A2086F" w14:paraId="396CC297" w14:textId="77777777">
        <w:trPr>
          <w:trHeight w:hRule="exact" w:val="278"/>
        </w:trPr>
        <w:tc>
          <w:tcPr>
            <w:tcW w:w="2126" w:type="dxa"/>
            <w:tcBorders>
              <w:top w:val="single" w:sz="4" w:space="0" w:color="auto"/>
              <w:left w:val="single" w:sz="4" w:space="0" w:color="auto"/>
            </w:tcBorders>
          </w:tcPr>
          <w:p w14:paraId="5EEF2D48" w14:textId="77777777" w:rsidR="00E85E43" w:rsidRPr="00A2086F" w:rsidRDefault="00A2086F">
            <w:pPr>
              <w:pStyle w:val="Egyb0"/>
              <w:framePr w:w="9082" w:h="6509" w:wrap="none" w:vAnchor="page" w:hAnchor="page" w:x="1415" w:y="1466"/>
              <w:spacing w:after="0"/>
              <w:rPr>
                <w:lang w:val="en-GB"/>
              </w:rPr>
            </w:pPr>
            <w:r w:rsidRPr="00A2086F">
              <w:rPr>
                <w:rStyle w:val="Egyb"/>
                <w:lang w:val="en-GB"/>
              </w:rPr>
              <w:t>phone number</w:t>
            </w:r>
          </w:p>
        </w:tc>
        <w:tc>
          <w:tcPr>
            <w:tcW w:w="2496" w:type="dxa"/>
            <w:tcBorders>
              <w:top w:val="single" w:sz="4" w:space="0" w:color="auto"/>
              <w:left w:val="single" w:sz="4" w:space="0" w:color="auto"/>
            </w:tcBorders>
          </w:tcPr>
          <w:p w14:paraId="18A90816" w14:textId="77777777" w:rsidR="00E85E43" w:rsidRPr="00A2086F" w:rsidRDefault="00A2086F">
            <w:pPr>
              <w:pStyle w:val="Egyb0"/>
              <w:framePr w:w="9082" w:h="6509" w:wrap="none" w:vAnchor="page" w:hAnchor="page" w:x="1415" w:y="1466"/>
              <w:spacing w:after="0"/>
              <w:rPr>
                <w:lang w:val="en-GB"/>
              </w:rPr>
            </w:pPr>
            <w:r w:rsidRPr="00A2086F">
              <w:rPr>
                <w:rStyle w:val="Egyb"/>
                <w:lang w:val="en-GB"/>
              </w:rPr>
              <w:t>maintaining contact</w:t>
            </w:r>
          </w:p>
        </w:tc>
        <w:tc>
          <w:tcPr>
            <w:tcW w:w="2616" w:type="dxa"/>
            <w:vMerge/>
            <w:tcBorders>
              <w:left w:val="single" w:sz="4" w:space="0" w:color="auto"/>
            </w:tcBorders>
          </w:tcPr>
          <w:p w14:paraId="27A8012C" w14:textId="77777777" w:rsidR="00E85E43" w:rsidRPr="00A2086F" w:rsidRDefault="00E85E43">
            <w:pPr>
              <w:framePr w:w="9082" w:h="6509" w:wrap="none" w:vAnchor="page" w:hAnchor="page" w:x="1415" w:y="1466"/>
              <w:rPr>
                <w:lang w:val="en-GB"/>
              </w:rPr>
            </w:pPr>
          </w:p>
        </w:tc>
        <w:tc>
          <w:tcPr>
            <w:tcW w:w="1843" w:type="dxa"/>
            <w:vMerge/>
            <w:tcBorders>
              <w:left w:val="single" w:sz="4" w:space="0" w:color="auto"/>
              <w:right w:val="single" w:sz="4" w:space="0" w:color="auto"/>
            </w:tcBorders>
          </w:tcPr>
          <w:p w14:paraId="7341ABE7" w14:textId="77777777" w:rsidR="00E85E43" w:rsidRPr="00A2086F" w:rsidRDefault="00E85E43">
            <w:pPr>
              <w:framePr w:w="9082" w:h="6509" w:wrap="none" w:vAnchor="page" w:hAnchor="page" w:x="1415" w:y="1466"/>
              <w:rPr>
                <w:lang w:val="en-GB"/>
              </w:rPr>
            </w:pPr>
          </w:p>
        </w:tc>
      </w:tr>
      <w:tr w:rsidR="00E85E43" w:rsidRPr="00A2086F" w14:paraId="7124E2DF" w14:textId="77777777" w:rsidTr="00A2086F">
        <w:trPr>
          <w:trHeight w:hRule="exact" w:val="574"/>
        </w:trPr>
        <w:tc>
          <w:tcPr>
            <w:tcW w:w="2126" w:type="dxa"/>
            <w:tcBorders>
              <w:top w:val="single" w:sz="4" w:space="0" w:color="auto"/>
              <w:left w:val="single" w:sz="4" w:space="0" w:color="auto"/>
            </w:tcBorders>
          </w:tcPr>
          <w:p w14:paraId="1C71F67F" w14:textId="77777777" w:rsidR="00E85E43" w:rsidRPr="00A2086F" w:rsidRDefault="00A2086F">
            <w:pPr>
              <w:pStyle w:val="Egyb0"/>
              <w:framePr w:w="9082" w:h="6509" w:wrap="none" w:vAnchor="page" w:hAnchor="page" w:x="1415" w:y="1466"/>
              <w:spacing w:after="0"/>
              <w:rPr>
                <w:lang w:val="en-GB"/>
              </w:rPr>
            </w:pPr>
            <w:r w:rsidRPr="00A2086F">
              <w:rPr>
                <w:rStyle w:val="Egyb"/>
                <w:lang w:val="en-GB"/>
              </w:rPr>
              <w:t>message</w:t>
            </w:r>
          </w:p>
        </w:tc>
        <w:tc>
          <w:tcPr>
            <w:tcW w:w="2496" w:type="dxa"/>
            <w:tcBorders>
              <w:top w:val="single" w:sz="4" w:space="0" w:color="auto"/>
              <w:left w:val="single" w:sz="4" w:space="0" w:color="auto"/>
            </w:tcBorders>
          </w:tcPr>
          <w:p w14:paraId="5B0A1F3B" w14:textId="77777777" w:rsidR="00E85E43" w:rsidRPr="00A2086F" w:rsidRDefault="00A2086F">
            <w:pPr>
              <w:pStyle w:val="Egyb0"/>
              <w:framePr w:w="9082" w:h="6509" w:wrap="none" w:vAnchor="page" w:hAnchor="page" w:x="1415" w:y="1466"/>
              <w:spacing w:after="0"/>
              <w:rPr>
                <w:lang w:val="en-GB"/>
              </w:rPr>
            </w:pPr>
            <w:r w:rsidRPr="00A2086F">
              <w:rPr>
                <w:rStyle w:val="Egyb"/>
                <w:lang w:val="en-GB"/>
              </w:rPr>
              <w:t>providing a response and information</w:t>
            </w:r>
          </w:p>
        </w:tc>
        <w:tc>
          <w:tcPr>
            <w:tcW w:w="2616" w:type="dxa"/>
            <w:vMerge/>
            <w:tcBorders>
              <w:left w:val="single" w:sz="4" w:space="0" w:color="auto"/>
            </w:tcBorders>
          </w:tcPr>
          <w:p w14:paraId="2E5D0402" w14:textId="77777777" w:rsidR="00E85E43" w:rsidRPr="00A2086F" w:rsidRDefault="00E85E43">
            <w:pPr>
              <w:framePr w:w="9082" w:h="6509" w:wrap="none" w:vAnchor="page" w:hAnchor="page" w:x="1415" w:y="1466"/>
              <w:rPr>
                <w:lang w:val="en-GB"/>
              </w:rPr>
            </w:pPr>
          </w:p>
        </w:tc>
        <w:tc>
          <w:tcPr>
            <w:tcW w:w="1843" w:type="dxa"/>
            <w:vMerge/>
            <w:tcBorders>
              <w:left w:val="single" w:sz="4" w:space="0" w:color="auto"/>
              <w:right w:val="single" w:sz="4" w:space="0" w:color="auto"/>
            </w:tcBorders>
          </w:tcPr>
          <w:p w14:paraId="416F97F1" w14:textId="77777777" w:rsidR="00E85E43" w:rsidRPr="00A2086F" w:rsidRDefault="00E85E43">
            <w:pPr>
              <w:framePr w:w="9082" w:h="6509" w:wrap="none" w:vAnchor="page" w:hAnchor="page" w:x="1415" w:y="1466"/>
              <w:rPr>
                <w:lang w:val="en-GB"/>
              </w:rPr>
            </w:pPr>
          </w:p>
        </w:tc>
      </w:tr>
      <w:tr w:rsidR="00E85E43" w:rsidRPr="00A2086F" w14:paraId="49664B68" w14:textId="77777777" w:rsidTr="00A2086F">
        <w:trPr>
          <w:trHeight w:hRule="exact" w:val="1560"/>
        </w:trPr>
        <w:tc>
          <w:tcPr>
            <w:tcW w:w="2126" w:type="dxa"/>
            <w:tcBorders>
              <w:top w:val="single" w:sz="4" w:space="0" w:color="auto"/>
              <w:left w:val="single" w:sz="4" w:space="0" w:color="auto"/>
            </w:tcBorders>
          </w:tcPr>
          <w:p w14:paraId="2F207B8D" w14:textId="77777777" w:rsidR="00E85E43" w:rsidRPr="00A2086F" w:rsidRDefault="00A2086F">
            <w:pPr>
              <w:pStyle w:val="Egyb0"/>
              <w:framePr w:w="9082" w:h="6509" w:wrap="none" w:vAnchor="page" w:hAnchor="page" w:x="1415" w:y="1466"/>
              <w:spacing w:after="0"/>
              <w:rPr>
                <w:lang w:val="en-GB"/>
              </w:rPr>
            </w:pPr>
            <w:r w:rsidRPr="00A2086F">
              <w:rPr>
                <w:rStyle w:val="Egyb"/>
                <w:lang w:val="en-GB"/>
              </w:rPr>
              <w:t>acknowledgement of the privacy notice (on the website)</w:t>
            </w:r>
          </w:p>
        </w:tc>
        <w:tc>
          <w:tcPr>
            <w:tcW w:w="2496" w:type="dxa"/>
            <w:tcBorders>
              <w:top w:val="single" w:sz="4" w:space="0" w:color="auto"/>
              <w:left w:val="single" w:sz="4" w:space="0" w:color="auto"/>
            </w:tcBorders>
          </w:tcPr>
          <w:p w14:paraId="0C30917D" w14:textId="77777777" w:rsidR="00E85E43" w:rsidRPr="00A2086F" w:rsidRDefault="00A2086F">
            <w:pPr>
              <w:pStyle w:val="Egyb0"/>
              <w:framePr w:w="9082" w:h="6509" w:wrap="none" w:vAnchor="page" w:hAnchor="page" w:x="1415" w:y="1466"/>
              <w:spacing w:after="0"/>
              <w:rPr>
                <w:lang w:val="en-GB"/>
              </w:rPr>
            </w:pPr>
            <w:r w:rsidRPr="00A2086F">
              <w:rPr>
                <w:rStyle w:val="Egyb"/>
                <w:lang w:val="en-GB"/>
              </w:rPr>
              <w:t>subsequent proof</w:t>
            </w:r>
          </w:p>
        </w:tc>
        <w:tc>
          <w:tcPr>
            <w:tcW w:w="2616" w:type="dxa"/>
            <w:tcBorders>
              <w:top w:val="single" w:sz="4" w:space="0" w:color="auto"/>
              <w:left w:val="single" w:sz="4" w:space="0" w:color="auto"/>
            </w:tcBorders>
          </w:tcPr>
          <w:p w14:paraId="3E4A23E7" w14:textId="77777777" w:rsidR="00E85E43" w:rsidRPr="00A2086F" w:rsidRDefault="00A2086F">
            <w:pPr>
              <w:pStyle w:val="Egyb0"/>
              <w:framePr w:w="9082" w:h="6509" w:wrap="none" w:vAnchor="page" w:hAnchor="page" w:x="1415" w:y="1466"/>
              <w:spacing w:after="0"/>
              <w:rPr>
                <w:lang w:val="en-GB"/>
              </w:rPr>
            </w:pPr>
            <w:r w:rsidRPr="00A2086F">
              <w:rPr>
                <w:rStyle w:val="Egyb"/>
                <w:lang w:val="en-GB"/>
              </w:rPr>
              <w:t>legitimate interest (Article 6(1)(f) GDPR), embodied in subsequent demonstrability and the validity of consent</w:t>
            </w:r>
          </w:p>
        </w:tc>
        <w:tc>
          <w:tcPr>
            <w:tcW w:w="1843" w:type="dxa"/>
            <w:vMerge/>
            <w:tcBorders>
              <w:left w:val="single" w:sz="4" w:space="0" w:color="auto"/>
              <w:right w:val="single" w:sz="4" w:space="0" w:color="auto"/>
            </w:tcBorders>
          </w:tcPr>
          <w:p w14:paraId="3D50374D" w14:textId="77777777" w:rsidR="00E85E43" w:rsidRPr="00A2086F" w:rsidRDefault="00E85E43">
            <w:pPr>
              <w:framePr w:w="9082" w:h="6509" w:wrap="none" w:vAnchor="page" w:hAnchor="page" w:x="1415" w:y="1466"/>
              <w:rPr>
                <w:lang w:val="en-GB"/>
              </w:rPr>
            </w:pPr>
          </w:p>
        </w:tc>
      </w:tr>
      <w:tr w:rsidR="00E85E43" w:rsidRPr="00A2086F" w14:paraId="068582F7" w14:textId="77777777">
        <w:trPr>
          <w:trHeight w:hRule="exact" w:val="1358"/>
        </w:trPr>
        <w:tc>
          <w:tcPr>
            <w:tcW w:w="2126" w:type="dxa"/>
            <w:tcBorders>
              <w:top w:val="single" w:sz="4" w:space="0" w:color="auto"/>
              <w:left w:val="single" w:sz="4" w:space="0" w:color="auto"/>
              <w:bottom w:val="single" w:sz="4" w:space="0" w:color="auto"/>
            </w:tcBorders>
          </w:tcPr>
          <w:p w14:paraId="7467A4BA" w14:textId="77777777" w:rsidR="00E85E43" w:rsidRPr="00A2086F" w:rsidRDefault="00A2086F">
            <w:pPr>
              <w:pStyle w:val="Egyb0"/>
              <w:framePr w:w="9082" w:h="6509" w:wrap="none" w:vAnchor="page" w:hAnchor="page" w:x="1415" w:y="1466"/>
              <w:spacing w:after="0"/>
              <w:rPr>
                <w:lang w:val="en-GB"/>
              </w:rPr>
            </w:pPr>
            <w:r w:rsidRPr="00A2086F">
              <w:rPr>
                <w:rStyle w:val="Egyb"/>
                <w:lang w:val="en-GB"/>
              </w:rPr>
              <w:t>time of submission</w:t>
            </w:r>
          </w:p>
        </w:tc>
        <w:tc>
          <w:tcPr>
            <w:tcW w:w="2496" w:type="dxa"/>
            <w:tcBorders>
              <w:top w:val="single" w:sz="4" w:space="0" w:color="auto"/>
              <w:left w:val="single" w:sz="4" w:space="0" w:color="auto"/>
              <w:bottom w:val="single" w:sz="4" w:space="0" w:color="auto"/>
            </w:tcBorders>
          </w:tcPr>
          <w:p w14:paraId="47276C81" w14:textId="77777777" w:rsidR="00E85E43" w:rsidRPr="00A2086F" w:rsidRDefault="00A2086F">
            <w:pPr>
              <w:pStyle w:val="Egyb0"/>
              <w:framePr w:w="9082" w:h="6509" w:wrap="none" w:vAnchor="page" w:hAnchor="page" w:x="1415" w:y="1466"/>
              <w:spacing w:after="0"/>
              <w:rPr>
                <w:lang w:val="en-GB"/>
              </w:rPr>
            </w:pPr>
            <w:r w:rsidRPr="00A2086F">
              <w:rPr>
                <w:rStyle w:val="Egyb"/>
                <w:lang w:val="en-GB"/>
              </w:rPr>
              <w:t>registration and processing of the receipt of the question or request</w:t>
            </w:r>
          </w:p>
        </w:tc>
        <w:tc>
          <w:tcPr>
            <w:tcW w:w="2616" w:type="dxa"/>
            <w:tcBorders>
              <w:top w:val="single" w:sz="4" w:space="0" w:color="auto"/>
              <w:left w:val="single" w:sz="4" w:space="0" w:color="auto"/>
              <w:bottom w:val="single" w:sz="4" w:space="0" w:color="auto"/>
            </w:tcBorders>
          </w:tcPr>
          <w:p w14:paraId="4E7A714C" w14:textId="77777777" w:rsidR="00E85E43" w:rsidRPr="00A2086F" w:rsidRDefault="00A2086F">
            <w:pPr>
              <w:pStyle w:val="Egyb0"/>
              <w:framePr w:w="9082" w:h="6509" w:wrap="none" w:vAnchor="page" w:hAnchor="page" w:x="1415" w:y="1466"/>
              <w:spacing w:after="0"/>
              <w:rPr>
                <w:lang w:val="en-GB"/>
              </w:rPr>
            </w:pPr>
            <w:r w:rsidRPr="00A2086F">
              <w:rPr>
                <w:rStyle w:val="Egyb"/>
                <w:lang w:val="en-GB"/>
              </w:rPr>
              <w:t>legitimate interest (Article 6(1)(f) GDPR),</w:t>
            </w:r>
          </w:p>
          <w:p w14:paraId="4A5941AE" w14:textId="77777777" w:rsidR="00E85E43" w:rsidRPr="00A2086F" w:rsidRDefault="00A2086F">
            <w:pPr>
              <w:pStyle w:val="Egyb0"/>
              <w:framePr w:w="9082" w:h="6509" w:wrap="none" w:vAnchor="page" w:hAnchor="page" w:x="1415" w:y="1466"/>
              <w:spacing w:after="0"/>
              <w:rPr>
                <w:lang w:val="en-GB"/>
              </w:rPr>
            </w:pPr>
            <w:r w:rsidRPr="00A2086F">
              <w:rPr>
                <w:rStyle w:val="Egyb"/>
                <w:lang w:val="en-GB"/>
              </w:rPr>
              <w:t>embodied in the traceability of receipt</w:t>
            </w:r>
          </w:p>
        </w:tc>
        <w:tc>
          <w:tcPr>
            <w:tcW w:w="1843" w:type="dxa"/>
            <w:vMerge/>
            <w:tcBorders>
              <w:left w:val="single" w:sz="4" w:space="0" w:color="auto"/>
              <w:bottom w:val="single" w:sz="4" w:space="0" w:color="auto"/>
              <w:right w:val="single" w:sz="4" w:space="0" w:color="auto"/>
            </w:tcBorders>
          </w:tcPr>
          <w:p w14:paraId="5D399E94" w14:textId="77777777" w:rsidR="00E85E43" w:rsidRPr="00A2086F" w:rsidRDefault="00E85E43">
            <w:pPr>
              <w:framePr w:w="9082" w:h="6509" w:wrap="none" w:vAnchor="page" w:hAnchor="page" w:x="1415" w:y="1466"/>
              <w:rPr>
                <w:lang w:val="en-GB"/>
              </w:rPr>
            </w:pPr>
          </w:p>
        </w:tc>
      </w:tr>
    </w:tbl>
    <w:p w14:paraId="4AFDE01F" w14:textId="77777777" w:rsidR="00E85E43" w:rsidRPr="00A2086F" w:rsidRDefault="00A2086F" w:rsidP="00A2086F">
      <w:pPr>
        <w:pStyle w:val="Cmsor10"/>
        <w:framePr w:w="9130" w:h="7276" w:hRule="exact" w:wrap="none" w:vAnchor="page" w:hAnchor="page" w:x="1386" w:y="8248"/>
        <w:numPr>
          <w:ilvl w:val="0"/>
          <w:numId w:val="2"/>
        </w:numPr>
        <w:tabs>
          <w:tab w:val="left" w:pos="350"/>
        </w:tabs>
        <w:spacing w:line="233" w:lineRule="auto"/>
        <w:ind w:left="380" w:hanging="380"/>
        <w:jc w:val="both"/>
        <w:rPr>
          <w:lang w:val="en-GB"/>
        </w:rPr>
      </w:pPr>
      <w:bookmarkStart w:id="2" w:name="bookmark5"/>
      <w:r w:rsidRPr="00A2086F">
        <w:rPr>
          <w:rStyle w:val="Cmsor1"/>
          <w:b/>
          <w:bCs/>
          <w:lang w:val="en-GB"/>
        </w:rPr>
        <w:t>At Nitrogénművek Zrt., acting as Controller, the following persons are authorised to access and inspect the data:</w:t>
      </w:r>
      <w:bookmarkEnd w:id="2"/>
    </w:p>
    <w:p w14:paraId="088BED6A" w14:textId="77777777" w:rsidR="00E85E43" w:rsidRPr="00A2086F" w:rsidRDefault="00A2086F" w:rsidP="00A2086F">
      <w:pPr>
        <w:pStyle w:val="Szvegtrzs1"/>
        <w:framePr w:w="9130" w:h="7276" w:hRule="exact" w:wrap="none" w:vAnchor="page" w:hAnchor="page" w:x="1386" w:y="8248"/>
        <w:spacing w:after="420" w:line="257" w:lineRule="auto"/>
        <w:ind w:left="740" w:hanging="360"/>
        <w:jc w:val="both"/>
        <w:rPr>
          <w:lang w:val="en-GB"/>
        </w:rPr>
      </w:pPr>
      <w:r w:rsidRPr="00A2086F">
        <w:rPr>
          <w:rStyle w:val="Szvegtrzs"/>
          <w:lang w:val="en-GB"/>
        </w:rPr>
        <w:t>• The assistant to the Chief Executive Officer of Nitrogénművek Zrt., the assistant to the Deputy Chief Executive Officer for General Affairs, and the employees competent in the subject matter of the contact request, to the extent and for the duration necessary for the performance of their duties.</w:t>
      </w:r>
    </w:p>
    <w:p w14:paraId="7B1FC16A" w14:textId="77777777" w:rsidR="00E85E43" w:rsidRPr="00A2086F" w:rsidRDefault="00A2086F" w:rsidP="00A2086F">
      <w:pPr>
        <w:pStyle w:val="Cmsor10"/>
        <w:framePr w:w="9130" w:h="7276" w:hRule="exact" w:wrap="none" w:vAnchor="page" w:hAnchor="page" w:x="1386" w:y="8248"/>
        <w:numPr>
          <w:ilvl w:val="0"/>
          <w:numId w:val="2"/>
        </w:numPr>
        <w:tabs>
          <w:tab w:val="left" w:pos="350"/>
        </w:tabs>
        <w:jc w:val="both"/>
        <w:rPr>
          <w:lang w:val="en-GB"/>
        </w:rPr>
      </w:pPr>
      <w:bookmarkStart w:id="3" w:name="bookmark7"/>
      <w:r w:rsidRPr="00A2086F">
        <w:rPr>
          <w:rStyle w:val="Cmsor1"/>
          <w:b/>
          <w:bCs/>
          <w:lang w:val="en-GB"/>
        </w:rPr>
        <w:t>Principles of Processing</w:t>
      </w:r>
      <w:bookmarkEnd w:id="3"/>
    </w:p>
    <w:p w14:paraId="0C4BEB68" w14:textId="77777777" w:rsidR="00E85E43" w:rsidRPr="00A2086F" w:rsidRDefault="00A2086F" w:rsidP="00A2086F">
      <w:pPr>
        <w:pStyle w:val="Szvegtrzs1"/>
        <w:framePr w:w="9130" w:h="7276" w:hRule="exact" w:wrap="none" w:vAnchor="page" w:hAnchor="page" w:x="1386" w:y="8248"/>
        <w:jc w:val="both"/>
        <w:rPr>
          <w:spacing w:val="-2"/>
          <w:lang w:val="en-GB"/>
        </w:rPr>
      </w:pPr>
      <w:r w:rsidRPr="00A2086F">
        <w:rPr>
          <w:rStyle w:val="Szvegtrzs"/>
          <w:spacing w:val="-2"/>
          <w:lang w:val="en-GB"/>
        </w:rPr>
        <w:t>Nitrogénművek Zrt., acting as Controller, complies with all principles set out in the GDPR and Act CXII of 2011, and expressly processes only personal data that are indispensable for achieving the purpose of the processing and suitable for achieving that purpose. It processes personal data only to the extent and for the duration necessary for achieving the purpose, and protects the personal data of data subjects in the manner reasonably expected of it. If the Controller engages a processor, it requires the processor, under a separate agreement, to comply with the principles and, in general, to operate in accordance with the GDPR and other applicable legislation, and to demonstrate compliance with the law.</w:t>
      </w:r>
    </w:p>
    <w:p w14:paraId="5792BDD6" w14:textId="77777777" w:rsidR="00E85E43" w:rsidRPr="00A2086F" w:rsidRDefault="00A2086F" w:rsidP="00A2086F">
      <w:pPr>
        <w:pStyle w:val="Cmsor10"/>
        <w:framePr w:w="9130" w:h="7276" w:hRule="exact" w:wrap="none" w:vAnchor="page" w:hAnchor="page" w:x="1386" w:y="8248"/>
        <w:numPr>
          <w:ilvl w:val="0"/>
          <w:numId w:val="2"/>
        </w:numPr>
        <w:tabs>
          <w:tab w:val="left" w:pos="350"/>
        </w:tabs>
        <w:jc w:val="both"/>
        <w:rPr>
          <w:lang w:val="en-GB"/>
        </w:rPr>
      </w:pPr>
      <w:bookmarkStart w:id="4" w:name="bookmark9"/>
      <w:r w:rsidRPr="00A2086F">
        <w:rPr>
          <w:rStyle w:val="Cmsor1"/>
          <w:b/>
          <w:bCs/>
          <w:lang w:val="en-GB"/>
        </w:rPr>
        <w:t>Security of Processing</w:t>
      </w:r>
      <w:bookmarkEnd w:id="4"/>
    </w:p>
    <w:p w14:paraId="33899867" w14:textId="77777777" w:rsidR="00E85E43" w:rsidRPr="00A2086F" w:rsidRDefault="00A2086F" w:rsidP="00A2086F">
      <w:pPr>
        <w:pStyle w:val="Szvegtrzs1"/>
        <w:framePr w:w="9130" w:h="7276" w:hRule="exact" w:wrap="none" w:vAnchor="page" w:hAnchor="page" w:x="1386" w:y="8248"/>
        <w:spacing w:after="0"/>
        <w:rPr>
          <w:lang w:val="en-GB"/>
        </w:rPr>
      </w:pPr>
      <w:r w:rsidRPr="00A2086F">
        <w:rPr>
          <w:rStyle w:val="Szvegtrzs"/>
          <w:lang w:val="en-GB"/>
        </w:rPr>
        <w:t>Taking into account the costs of implementation, the nature, scope, context and purposes of the processing, and the risk of varying likelihood and severity to the rights and freedoms of natural persons, the Controller implements appropriate technical and organisational measures to ensure a level of security appropriate to the risk.</w:t>
      </w:r>
    </w:p>
    <w:p w14:paraId="40A88335" w14:textId="77777777" w:rsidR="00E85E43" w:rsidRPr="00A2086F" w:rsidRDefault="00A2086F" w:rsidP="00A2086F">
      <w:pPr>
        <w:pStyle w:val="Szvegtrzs1"/>
        <w:framePr w:w="9130" w:h="7276" w:hRule="exact" w:wrap="none" w:vAnchor="page" w:hAnchor="page" w:x="1386" w:y="8248"/>
        <w:spacing w:after="0"/>
        <w:rPr>
          <w:lang w:val="en-GB"/>
        </w:rPr>
      </w:pPr>
      <w:r w:rsidRPr="00A2086F">
        <w:rPr>
          <w:rStyle w:val="Szvegtrzs"/>
          <w:lang w:val="en-GB"/>
        </w:rPr>
        <w:t>Within the scope of its IT security-related tasks, the Controller shall, in particular, ensure:</w:t>
      </w:r>
    </w:p>
    <w:p w14:paraId="1BBE4F4A" w14:textId="77777777" w:rsidR="00E85E43" w:rsidRPr="00A2086F" w:rsidRDefault="00E85E43">
      <w:pPr>
        <w:spacing w:line="1" w:lineRule="exact"/>
        <w:rPr>
          <w:lang w:val="en-GB"/>
        </w:rPr>
        <w:sectPr w:rsidR="00E85E43" w:rsidRPr="00A2086F">
          <w:pgSz w:w="11900" w:h="16840"/>
          <w:pgMar w:top="418" w:right="360" w:bottom="360" w:left="360" w:header="0" w:footer="3" w:gutter="0"/>
          <w:cols w:space="720"/>
          <w:noEndnote/>
          <w:docGrid w:linePitch="360"/>
        </w:sectPr>
      </w:pPr>
    </w:p>
    <w:p w14:paraId="6EF484D9" w14:textId="77777777" w:rsidR="00E85E43" w:rsidRPr="00A2086F" w:rsidRDefault="00E85E43">
      <w:pPr>
        <w:spacing w:line="1" w:lineRule="exact"/>
        <w:rPr>
          <w:lang w:val="en-GB"/>
        </w:rPr>
      </w:pPr>
    </w:p>
    <w:p w14:paraId="35997729" w14:textId="77777777" w:rsidR="00E85E43" w:rsidRPr="00A2086F" w:rsidRDefault="00A2086F">
      <w:pPr>
        <w:pStyle w:val="Fejlcvagylblc0"/>
        <w:framePr w:w="2702" w:h="509" w:hRule="exact" w:wrap="none" w:vAnchor="page" w:hAnchor="page" w:x="1219" w:y="712"/>
        <w:rPr>
          <w:lang w:val="en-GB"/>
        </w:rPr>
      </w:pPr>
      <w:r w:rsidRPr="00A2086F">
        <w:rPr>
          <w:rStyle w:val="Fejlcvagylblc"/>
          <w:lang w:val="en-GB"/>
        </w:rPr>
        <w:t>Document ID: AT47</w:t>
      </w:r>
    </w:p>
    <w:p w14:paraId="5B7D4353" w14:textId="77777777" w:rsidR="00E85E43" w:rsidRPr="00A2086F" w:rsidRDefault="00A2086F">
      <w:pPr>
        <w:pStyle w:val="Fejlcvagylblc0"/>
        <w:framePr w:w="2702" w:h="509" w:hRule="exact" w:wrap="none" w:vAnchor="page" w:hAnchor="page" w:x="1219" w:y="712"/>
        <w:rPr>
          <w:lang w:val="en-GB"/>
        </w:rPr>
      </w:pPr>
      <w:r w:rsidRPr="00A2086F">
        <w:rPr>
          <w:rStyle w:val="Fejlcvagylblc"/>
          <w:lang w:val="en-GB"/>
        </w:rPr>
        <w:t>Document Version: 2p03</w:t>
      </w:r>
    </w:p>
    <w:p w14:paraId="6F8CA26A" w14:textId="77777777" w:rsidR="00E85E43" w:rsidRPr="00A2086F" w:rsidRDefault="00A2086F" w:rsidP="00A2086F">
      <w:pPr>
        <w:pStyle w:val="Fejlcvagylblc0"/>
        <w:framePr w:w="4156" w:h="509" w:hRule="exact" w:wrap="none" w:vAnchor="page" w:hAnchor="page" w:x="6931" w:y="712"/>
        <w:jc w:val="right"/>
        <w:rPr>
          <w:lang w:val="en-GB"/>
        </w:rPr>
      </w:pPr>
      <w:r w:rsidRPr="00A2086F">
        <w:rPr>
          <w:rStyle w:val="Fejlcvagylblc"/>
          <w:lang w:val="en-GB"/>
        </w:rPr>
        <w:t>Approved by: Head of the Marketing Department</w:t>
      </w:r>
    </w:p>
    <w:p w14:paraId="013F9F7E" w14:textId="77777777" w:rsidR="00E85E43" w:rsidRPr="00A2086F" w:rsidRDefault="00A2086F" w:rsidP="00A2086F">
      <w:pPr>
        <w:pStyle w:val="Fejlcvagylblc0"/>
        <w:framePr w:w="4156" w:h="509" w:hRule="exact" w:wrap="none" w:vAnchor="page" w:hAnchor="page" w:x="6931" w:y="712"/>
        <w:jc w:val="right"/>
        <w:rPr>
          <w:lang w:val="en-GB"/>
        </w:rPr>
      </w:pPr>
      <w:r w:rsidRPr="00A2086F">
        <w:rPr>
          <w:rStyle w:val="Fejlcvagylblc"/>
          <w:lang w:val="en-GB"/>
        </w:rPr>
        <w:t>Effective from: 12 May 2026 (until revoked)</w:t>
      </w:r>
    </w:p>
    <w:p w14:paraId="00D6564E" w14:textId="77777777" w:rsidR="00E85E43" w:rsidRPr="00A2086F" w:rsidRDefault="00A2086F">
      <w:pPr>
        <w:pStyle w:val="Szvegtrzs1"/>
        <w:framePr w:w="9139" w:h="13469" w:hRule="exact" w:wrap="none" w:vAnchor="page" w:hAnchor="page" w:x="1382" w:y="1466"/>
        <w:numPr>
          <w:ilvl w:val="0"/>
          <w:numId w:val="3"/>
        </w:numPr>
        <w:tabs>
          <w:tab w:val="left" w:pos="882"/>
        </w:tabs>
        <w:spacing w:after="0"/>
        <w:ind w:left="860" w:hanging="400"/>
        <w:jc w:val="both"/>
        <w:rPr>
          <w:lang w:val="en-GB"/>
        </w:rPr>
      </w:pPr>
      <w:r w:rsidRPr="00A2086F">
        <w:rPr>
          <w:rStyle w:val="Szvegtrzs"/>
          <w:lang w:val="en-GB"/>
        </w:rPr>
        <w:t>that unauthorised persons are denied access to the devices used for processing (hereinafter: processing system),</w:t>
      </w:r>
    </w:p>
    <w:p w14:paraId="39B9A449" w14:textId="77777777" w:rsidR="00E85E43" w:rsidRPr="00A2086F" w:rsidRDefault="00A2086F">
      <w:pPr>
        <w:pStyle w:val="Szvegtrzs1"/>
        <w:framePr w:w="9139" w:h="13469" w:hRule="exact" w:wrap="none" w:vAnchor="page" w:hAnchor="page" w:x="1382" w:y="1466"/>
        <w:numPr>
          <w:ilvl w:val="0"/>
          <w:numId w:val="3"/>
        </w:numPr>
        <w:tabs>
          <w:tab w:val="left" w:pos="882"/>
        </w:tabs>
        <w:spacing w:after="0"/>
        <w:ind w:left="860" w:hanging="400"/>
        <w:jc w:val="both"/>
        <w:rPr>
          <w:lang w:val="en-GB"/>
        </w:rPr>
      </w:pPr>
      <w:r w:rsidRPr="00A2086F">
        <w:rPr>
          <w:rStyle w:val="Szvegtrzs"/>
          <w:lang w:val="en-GB"/>
        </w:rPr>
        <w:t>that the unauthorised reading, copying, modification or removal of data carriers is prevented,</w:t>
      </w:r>
    </w:p>
    <w:p w14:paraId="21E06178" w14:textId="77777777" w:rsidR="00E85E43" w:rsidRPr="00A2086F" w:rsidRDefault="00A2086F">
      <w:pPr>
        <w:pStyle w:val="Szvegtrzs1"/>
        <w:framePr w:w="9139" w:h="13469" w:hRule="exact" w:wrap="none" w:vAnchor="page" w:hAnchor="page" w:x="1382" w:y="1466"/>
        <w:numPr>
          <w:ilvl w:val="0"/>
          <w:numId w:val="3"/>
        </w:numPr>
        <w:tabs>
          <w:tab w:val="left" w:pos="882"/>
        </w:tabs>
        <w:spacing w:after="0"/>
        <w:ind w:left="860" w:hanging="400"/>
        <w:jc w:val="both"/>
        <w:rPr>
          <w:lang w:val="en-GB"/>
        </w:rPr>
      </w:pPr>
      <w:r w:rsidRPr="00A2086F">
        <w:rPr>
          <w:rStyle w:val="Szvegtrzs"/>
          <w:lang w:val="en-GB"/>
        </w:rPr>
        <w:t>that the unauthorised entry of personal data into the processing system, and unauthorised access to, modification or deletion of personal data stored therein, are prevented,</w:t>
      </w:r>
    </w:p>
    <w:p w14:paraId="3807F4C3" w14:textId="77777777" w:rsidR="00E85E43" w:rsidRPr="00A2086F" w:rsidRDefault="00A2086F">
      <w:pPr>
        <w:pStyle w:val="Szvegtrzs1"/>
        <w:framePr w:w="9139" w:h="13469" w:hRule="exact" w:wrap="none" w:vAnchor="page" w:hAnchor="page" w:x="1382" w:y="1466"/>
        <w:numPr>
          <w:ilvl w:val="0"/>
          <w:numId w:val="3"/>
        </w:numPr>
        <w:tabs>
          <w:tab w:val="left" w:pos="882"/>
        </w:tabs>
        <w:spacing w:after="0"/>
        <w:ind w:left="860" w:hanging="400"/>
        <w:jc w:val="both"/>
        <w:rPr>
          <w:lang w:val="en-GB"/>
        </w:rPr>
      </w:pPr>
      <w:r w:rsidRPr="00A2086F">
        <w:rPr>
          <w:rStyle w:val="Szvegtrzs"/>
          <w:lang w:val="en-GB"/>
        </w:rPr>
        <w:t>that the use of processing systems by unauthorised persons by means of data transmission equipment is prevented,</w:t>
      </w:r>
    </w:p>
    <w:p w14:paraId="2445B136" w14:textId="77777777" w:rsidR="00E85E43" w:rsidRPr="00A2086F" w:rsidRDefault="00A2086F">
      <w:pPr>
        <w:pStyle w:val="Szvegtrzs1"/>
        <w:framePr w:w="9139" w:h="13469" w:hRule="exact" w:wrap="none" w:vAnchor="page" w:hAnchor="page" w:x="1382" w:y="1466"/>
        <w:numPr>
          <w:ilvl w:val="0"/>
          <w:numId w:val="3"/>
        </w:numPr>
        <w:tabs>
          <w:tab w:val="left" w:pos="882"/>
        </w:tabs>
        <w:spacing w:after="0"/>
        <w:ind w:left="860" w:hanging="400"/>
        <w:jc w:val="both"/>
        <w:rPr>
          <w:lang w:val="en-GB"/>
        </w:rPr>
      </w:pPr>
      <w:r w:rsidRPr="00A2086F">
        <w:rPr>
          <w:rStyle w:val="Szvegtrzs"/>
          <w:lang w:val="en-GB"/>
        </w:rPr>
        <w:t>that persons authorised to use the processing system have access only to the personal data specified in their access authorisation,</w:t>
      </w:r>
    </w:p>
    <w:p w14:paraId="20AC2C53" w14:textId="77777777" w:rsidR="00E85E43" w:rsidRPr="00A2086F" w:rsidRDefault="00A2086F">
      <w:pPr>
        <w:pStyle w:val="Szvegtrzs1"/>
        <w:framePr w:w="9139" w:h="13469" w:hRule="exact" w:wrap="none" w:vAnchor="page" w:hAnchor="page" w:x="1382" w:y="1466"/>
        <w:numPr>
          <w:ilvl w:val="0"/>
          <w:numId w:val="3"/>
        </w:numPr>
        <w:tabs>
          <w:tab w:val="left" w:pos="882"/>
        </w:tabs>
        <w:spacing w:after="0"/>
        <w:ind w:left="860" w:hanging="400"/>
        <w:jc w:val="both"/>
        <w:rPr>
          <w:lang w:val="en-GB"/>
        </w:rPr>
      </w:pPr>
      <w:r w:rsidRPr="00A2086F">
        <w:rPr>
          <w:rStyle w:val="Szvegtrzs"/>
          <w:lang w:val="en-GB"/>
        </w:rPr>
        <w:t>that it can be verified and established to which recipient personal data have been or may be transmitted, or made or may be made available, by means of data transmission equipment,</w:t>
      </w:r>
    </w:p>
    <w:p w14:paraId="082D3F7A" w14:textId="77777777" w:rsidR="00E85E43" w:rsidRPr="00A2086F" w:rsidRDefault="00A2086F">
      <w:pPr>
        <w:pStyle w:val="Szvegtrzs1"/>
        <w:framePr w:w="9139" w:h="13469" w:hRule="exact" w:wrap="none" w:vAnchor="page" w:hAnchor="page" w:x="1382" w:y="1466"/>
        <w:numPr>
          <w:ilvl w:val="0"/>
          <w:numId w:val="3"/>
        </w:numPr>
        <w:tabs>
          <w:tab w:val="left" w:pos="882"/>
        </w:tabs>
        <w:spacing w:after="0"/>
        <w:ind w:left="860" w:hanging="400"/>
        <w:jc w:val="both"/>
        <w:rPr>
          <w:lang w:val="en-GB"/>
        </w:rPr>
      </w:pPr>
      <w:r w:rsidRPr="00A2086F">
        <w:rPr>
          <w:rStyle w:val="Szvegtrzs"/>
          <w:lang w:val="en-GB"/>
        </w:rPr>
        <w:t>that it can be subsequently verified and established which personal data were entered into the processing system, when and by whom,</w:t>
      </w:r>
    </w:p>
    <w:p w14:paraId="4AE8DE32" w14:textId="77777777" w:rsidR="00E85E43" w:rsidRPr="00A2086F" w:rsidRDefault="00A2086F">
      <w:pPr>
        <w:pStyle w:val="Szvegtrzs1"/>
        <w:framePr w:w="9139" w:h="13469" w:hRule="exact" w:wrap="none" w:vAnchor="page" w:hAnchor="page" w:x="1382" w:y="1466"/>
        <w:numPr>
          <w:ilvl w:val="0"/>
          <w:numId w:val="3"/>
        </w:numPr>
        <w:tabs>
          <w:tab w:val="left" w:pos="882"/>
        </w:tabs>
        <w:spacing w:after="0"/>
        <w:ind w:left="860" w:hanging="400"/>
        <w:jc w:val="both"/>
        <w:rPr>
          <w:lang w:val="en-GB"/>
        </w:rPr>
      </w:pPr>
      <w:r w:rsidRPr="00A2086F">
        <w:rPr>
          <w:rStyle w:val="Szvegtrzs"/>
          <w:lang w:val="en-GB"/>
        </w:rPr>
        <w:t>that unauthorised access to, copying, modification or deletion of personal data is prevented during their transmission or while data carriers are being transported,</w:t>
      </w:r>
    </w:p>
    <w:p w14:paraId="62A10AD0" w14:textId="77777777" w:rsidR="00E85E43" w:rsidRPr="00A2086F" w:rsidRDefault="00A2086F">
      <w:pPr>
        <w:pStyle w:val="Szvegtrzs1"/>
        <w:framePr w:w="9139" w:h="13469" w:hRule="exact" w:wrap="none" w:vAnchor="page" w:hAnchor="page" w:x="1382" w:y="1466"/>
        <w:numPr>
          <w:ilvl w:val="0"/>
          <w:numId w:val="3"/>
        </w:numPr>
        <w:tabs>
          <w:tab w:val="left" w:pos="862"/>
        </w:tabs>
        <w:spacing w:after="0"/>
        <w:ind w:firstLine="440"/>
        <w:jc w:val="both"/>
        <w:rPr>
          <w:lang w:val="en-GB"/>
        </w:rPr>
      </w:pPr>
      <w:r w:rsidRPr="00A2086F">
        <w:rPr>
          <w:rStyle w:val="Szvegtrzs"/>
          <w:lang w:val="en-GB"/>
        </w:rPr>
        <w:t>that the processing system can be restored in the event of a malfunction,</w:t>
      </w:r>
    </w:p>
    <w:p w14:paraId="5728C7EB" w14:textId="77777777" w:rsidR="00E85E43" w:rsidRPr="00A2086F" w:rsidRDefault="00A2086F">
      <w:pPr>
        <w:pStyle w:val="Szvegtrzs1"/>
        <w:framePr w:w="9139" w:h="13469" w:hRule="exact" w:wrap="none" w:vAnchor="page" w:hAnchor="page" w:x="1382" w:y="1466"/>
        <w:numPr>
          <w:ilvl w:val="0"/>
          <w:numId w:val="3"/>
        </w:numPr>
        <w:tabs>
          <w:tab w:val="left" w:pos="882"/>
        </w:tabs>
        <w:ind w:left="860" w:hanging="400"/>
        <w:jc w:val="both"/>
        <w:rPr>
          <w:lang w:val="en-GB"/>
        </w:rPr>
      </w:pPr>
      <w:r w:rsidRPr="00A2086F">
        <w:rPr>
          <w:rStyle w:val="Szvegtrzs"/>
          <w:lang w:val="en-GB"/>
        </w:rPr>
        <w:t>that the processing system is operational, that reports are prepared on errors occurring during its operation, and that the stored personal data cannot be altered even as a result of improper system operation.</w:t>
      </w:r>
    </w:p>
    <w:p w14:paraId="528A73F6" w14:textId="77777777" w:rsidR="00E85E43" w:rsidRPr="00A2086F" w:rsidRDefault="00A2086F">
      <w:pPr>
        <w:pStyle w:val="Cmsor10"/>
        <w:framePr w:w="9139" w:h="13469" w:hRule="exact" w:wrap="none" w:vAnchor="page" w:hAnchor="page" w:x="1382" w:y="1466"/>
        <w:numPr>
          <w:ilvl w:val="0"/>
          <w:numId w:val="4"/>
        </w:numPr>
        <w:tabs>
          <w:tab w:val="left" w:pos="355"/>
        </w:tabs>
        <w:jc w:val="both"/>
        <w:rPr>
          <w:lang w:val="en-GB"/>
        </w:rPr>
      </w:pPr>
      <w:bookmarkStart w:id="5" w:name="bookmark11"/>
      <w:r w:rsidRPr="00A2086F">
        <w:rPr>
          <w:rStyle w:val="Cmsor1"/>
          <w:b/>
          <w:bCs/>
          <w:lang w:val="en-GB"/>
        </w:rPr>
        <w:t>Related Legislation</w:t>
      </w:r>
      <w:bookmarkEnd w:id="5"/>
    </w:p>
    <w:p w14:paraId="248F8C4B" w14:textId="77777777" w:rsidR="00E85E43" w:rsidRPr="00A2086F" w:rsidRDefault="00A2086F">
      <w:pPr>
        <w:pStyle w:val="Szvegtrzs1"/>
        <w:framePr w:w="9139" w:h="13469" w:hRule="exact" w:wrap="none" w:vAnchor="page" w:hAnchor="page" w:x="1382" w:y="1466"/>
        <w:numPr>
          <w:ilvl w:val="0"/>
          <w:numId w:val="5"/>
        </w:numPr>
        <w:tabs>
          <w:tab w:val="left" w:pos="355"/>
        </w:tabs>
        <w:spacing w:after="0"/>
        <w:ind w:left="380" w:hanging="380"/>
        <w:jc w:val="both"/>
        <w:rPr>
          <w:lang w:val="en-GB"/>
        </w:rPr>
      </w:pPr>
      <w:r w:rsidRPr="00A2086F">
        <w:rPr>
          <w:rStyle w:val="Szvegtrzs"/>
          <w:lang w:val="en-GB"/>
        </w:rPr>
        <w:t>Regulation (EU) 2016/679 of the European Parliament and of the Council on the protection of natural persons with regard to the processing of personal data and on the free movement of such data;</w:t>
      </w:r>
    </w:p>
    <w:p w14:paraId="3205F09D" w14:textId="77777777" w:rsidR="00E85E43" w:rsidRPr="00A2086F" w:rsidRDefault="00A2086F">
      <w:pPr>
        <w:pStyle w:val="Szvegtrzs1"/>
        <w:framePr w:w="9139" w:h="13469" w:hRule="exact" w:wrap="none" w:vAnchor="page" w:hAnchor="page" w:x="1382" w:y="1466"/>
        <w:numPr>
          <w:ilvl w:val="0"/>
          <w:numId w:val="5"/>
        </w:numPr>
        <w:tabs>
          <w:tab w:val="left" w:pos="355"/>
        </w:tabs>
        <w:jc w:val="both"/>
        <w:rPr>
          <w:lang w:val="en-GB"/>
        </w:rPr>
      </w:pPr>
      <w:r w:rsidRPr="00A2086F">
        <w:rPr>
          <w:rStyle w:val="Szvegtrzs"/>
          <w:lang w:val="en-GB"/>
        </w:rPr>
        <w:t>Act CXII of 2011 on Informational Self-Determination and Freedom of Information;</w:t>
      </w:r>
    </w:p>
    <w:p w14:paraId="28EC88EF" w14:textId="77777777" w:rsidR="00E85E43" w:rsidRPr="00A2086F" w:rsidRDefault="00A2086F">
      <w:pPr>
        <w:pStyle w:val="Cmsor10"/>
        <w:framePr w:w="9139" w:h="13469" w:hRule="exact" w:wrap="none" w:vAnchor="page" w:hAnchor="page" w:x="1382" w:y="1466"/>
        <w:numPr>
          <w:ilvl w:val="0"/>
          <w:numId w:val="4"/>
        </w:numPr>
        <w:tabs>
          <w:tab w:val="left" w:pos="355"/>
        </w:tabs>
        <w:jc w:val="both"/>
        <w:rPr>
          <w:lang w:val="en-GB"/>
        </w:rPr>
      </w:pPr>
      <w:bookmarkStart w:id="6" w:name="bookmark13"/>
      <w:r w:rsidRPr="00A2086F">
        <w:rPr>
          <w:rStyle w:val="Cmsor1"/>
          <w:b/>
          <w:bCs/>
          <w:lang w:val="en-GB"/>
        </w:rPr>
        <w:t>Rights of the Data Subject</w:t>
      </w:r>
      <w:bookmarkEnd w:id="6"/>
    </w:p>
    <w:p w14:paraId="154E00C2" w14:textId="77777777" w:rsidR="00E85E43" w:rsidRPr="00A2086F" w:rsidRDefault="00A2086F">
      <w:pPr>
        <w:pStyle w:val="Cmsor10"/>
        <w:framePr w:w="9139" w:h="13469" w:hRule="exact" w:wrap="none" w:vAnchor="page" w:hAnchor="page" w:x="1382" w:y="1466"/>
        <w:spacing w:after="0"/>
        <w:jc w:val="both"/>
        <w:rPr>
          <w:lang w:val="en-GB"/>
        </w:rPr>
      </w:pPr>
      <w:r w:rsidRPr="00A2086F">
        <w:rPr>
          <w:rStyle w:val="Cmsor1"/>
          <w:b/>
          <w:bCs/>
          <w:lang w:val="en-GB"/>
        </w:rPr>
        <w:t>Right to withdraw consent (Article 7 GDPR)</w:t>
      </w:r>
    </w:p>
    <w:p w14:paraId="6C7FD456" w14:textId="77777777" w:rsidR="00E85E43" w:rsidRPr="00A2086F" w:rsidRDefault="00A2086F">
      <w:pPr>
        <w:pStyle w:val="Szvegtrzs1"/>
        <w:framePr w:w="9139" w:h="13469" w:hRule="exact" w:wrap="none" w:vAnchor="page" w:hAnchor="page" w:x="1382" w:y="1466"/>
        <w:jc w:val="both"/>
        <w:rPr>
          <w:lang w:val="en-GB"/>
        </w:rPr>
      </w:pPr>
      <w:r w:rsidRPr="00A2086F">
        <w:rPr>
          <w:rStyle w:val="Szvegtrzs"/>
          <w:lang w:val="en-GB"/>
        </w:rPr>
        <w:t>The data subject has the right to withdraw their consent at any time. The withdrawal of consent shall not affect the lawfulness of processing based on consent before its withdrawal.</w:t>
      </w:r>
    </w:p>
    <w:p w14:paraId="7F01DA7A" w14:textId="77777777" w:rsidR="00E85E43" w:rsidRPr="00A2086F" w:rsidRDefault="00A2086F">
      <w:pPr>
        <w:pStyle w:val="Cmsor10"/>
        <w:framePr w:w="9139" w:h="13469" w:hRule="exact" w:wrap="none" w:vAnchor="page" w:hAnchor="page" w:x="1382" w:y="1466"/>
        <w:spacing w:after="0"/>
        <w:jc w:val="both"/>
        <w:rPr>
          <w:lang w:val="en-GB"/>
        </w:rPr>
      </w:pPr>
      <w:bookmarkStart w:id="7" w:name="bookmark16"/>
      <w:r w:rsidRPr="00A2086F">
        <w:rPr>
          <w:rStyle w:val="Cmsor1"/>
          <w:b/>
          <w:bCs/>
          <w:lang w:val="en-GB"/>
        </w:rPr>
        <w:t>Right of access (Article 15 GDPR)</w:t>
      </w:r>
      <w:bookmarkEnd w:id="7"/>
    </w:p>
    <w:p w14:paraId="0527889D" w14:textId="77777777" w:rsidR="00E85E43" w:rsidRPr="00A2086F" w:rsidRDefault="00A2086F">
      <w:pPr>
        <w:pStyle w:val="Szvegtrzs1"/>
        <w:framePr w:w="9139" w:h="13469" w:hRule="exact" w:wrap="none" w:vAnchor="page" w:hAnchor="page" w:x="1382" w:y="1466"/>
        <w:jc w:val="both"/>
        <w:rPr>
          <w:lang w:val="en-GB"/>
        </w:rPr>
      </w:pPr>
      <w:r w:rsidRPr="00A2086F">
        <w:rPr>
          <w:rStyle w:val="Szvegtrzs"/>
          <w:lang w:val="en-GB"/>
        </w:rPr>
        <w:t>The data subject has the right to obtain confirmation from the Controller as to whether or not personal data concerning them are being processed and, where such processing is taking place, the right to obtain access to the personal data and to information relating to the circumstances of the processing. Where personal data are transferred to a third country or to an international organisation, the data subject has the right to be informed of the appropriate safeguards pursuant to Article 46 relating to the transfer. The Controller shall provide the data subject with a copy of the personal data undergoing processing if the data subject so requests.</w:t>
      </w:r>
    </w:p>
    <w:p w14:paraId="58B0A01D" w14:textId="77777777" w:rsidR="00E85E43" w:rsidRPr="00A2086F" w:rsidRDefault="00A2086F">
      <w:pPr>
        <w:pStyle w:val="Cmsor10"/>
        <w:framePr w:w="9139" w:h="13469" w:hRule="exact" w:wrap="none" w:vAnchor="page" w:hAnchor="page" w:x="1382" w:y="1466"/>
        <w:spacing w:after="0"/>
        <w:jc w:val="both"/>
        <w:rPr>
          <w:lang w:val="en-GB"/>
        </w:rPr>
      </w:pPr>
      <w:bookmarkStart w:id="8" w:name="bookmark18"/>
      <w:r w:rsidRPr="00A2086F">
        <w:rPr>
          <w:rStyle w:val="Cmsor1"/>
          <w:b/>
          <w:bCs/>
          <w:lang w:val="en-GB"/>
        </w:rPr>
        <w:t>Right to rectification (Article 16 GDPR)</w:t>
      </w:r>
      <w:bookmarkEnd w:id="8"/>
    </w:p>
    <w:p w14:paraId="0AFB5167" w14:textId="77777777" w:rsidR="00E85E43" w:rsidRPr="00A2086F" w:rsidRDefault="00A2086F">
      <w:pPr>
        <w:pStyle w:val="Szvegtrzs1"/>
        <w:framePr w:w="9139" w:h="13469" w:hRule="exact" w:wrap="none" w:vAnchor="page" w:hAnchor="page" w:x="1382" w:y="1466"/>
        <w:jc w:val="both"/>
        <w:rPr>
          <w:lang w:val="en-GB"/>
        </w:rPr>
      </w:pPr>
      <w:r w:rsidRPr="00A2086F">
        <w:rPr>
          <w:rStyle w:val="Szvegtrzs"/>
          <w:lang w:val="en-GB"/>
        </w:rPr>
        <w:t>The data subject has the right to obtain from the Controller, upon request, the rectification of inaccurate personal data concerning them without undue delay.</w:t>
      </w:r>
    </w:p>
    <w:p w14:paraId="666EA03A" w14:textId="77777777" w:rsidR="00E85E43" w:rsidRPr="00A2086F" w:rsidRDefault="00A2086F">
      <w:pPr>
        <w:pStyle w:val="Szvegtrzs1"/>
        <w:framePr w:w="9139" w:h="13469" w:hRule="exact" w:wrap="none" w:vAnchor="page" w:hAnchor="page" w:x="1382" w:y="1466"/>
        <w:spacing w:after="0"/>
        <w:jc w:val="both"/>
        <w:rPr>
          <w:lang w:val="en-GB"/>
        </w:rPr>
      </w:pPr>
      <w:r w:rsidRPr="00A2086F">
        <w:rPr>
          <w:rStyle w:val="Szvegtrzs"/>
          <w:b/>
          <w:bCs/>
          <w:lang w:val="en-GB"/>
        </w:rPr>
        <w:t>Right to object (Article 21 GDPR)</w:t>
      </w:r>
    </w:p>
    <w:p w14:paraId="3D05B9AC" w14:textId="77777777" w:rsidR="00E85E43" w:rsidRPr="00A2086F" w:rsidRDefault="00E85E43">
      <w:pPr>
        <w:spacing w:line="1" w:lineRule="exact"/>
        <w:rPr>
          <w:lang w:val="en-GB"/>
        </w:rPr>
        <w:sectPr w:rsidR="00E85E43" w:rsidRPr="00A2086F">
          <w:pgSz w:w="11900" w:h="16840"/>
          <w:pgMar w:top="418" w:right="360" w:bottom="360" w:left="360" w:header="0" w:footer="3" w:gutter="0"/>
          <w:cols w:space="720"/>
          <w:noEndnote/>
          <w:docGrid w:linePitch="360"/>
        </w:sectPr>
      </w:pPr>
    </w:p>
    <w:p w14:paraId="1FB0C4D7" w14:textId="77777777" w:rsidR="00E85E43" w:rsidRPr="00A2086F" w:rsidRDefault="00E85E43">
      <w:pPr>
        <w:spacing w:line="1" w:lineRule="exact"/>
        <w:rPr>
          <w:lang w:val="en-GB"/>
        </w:rPr>
      </w:pPr>
    </w:p>
    <w:p w14:paraId="5B7C3F46" w14:textId="77777777" w:rsidR="00E85E43" w:rsidRPr="00A2086F" w:rsidRDefault="00A2086F">
      <w:pPr>
        <w:pStyle w:val="Fejlcvagylblc0"/>
        <w:framePr w:w="2702" w:h="509" w:hRule="exact" w:wrap="none" w:vAnchor="page" w:hAnchor="page" w:x="1218" w:y="712"/>
        <w:rPr>
          <w:lang w:val="en-GB"/>
        </w:rPr>
      </w:pPr>
      <w:r w:rsidRPr="00A2086F">
        <w:rPr>
          <w:rStyle w:val="Fejlcvagylblc"/>
          <w:lang w:val="en-GB"/>
        </w:rPr>
        <w:t>Document ID: AT47</w:t>
      </w:r>
    </w:p>
    <w:p w14:paraId="48945219" w14:textId="77777777" w:rsidR="00E85E43" w:rsidRPr="00A2086F" w:rsidRDefault="00A2086F">
      <w:pPr>
        <w:pStyle w:val="Fejlcvagylblc0"/>
        <w:framePr w:w="2702" w:h="509" w:hRule="exact" w:wrap="none" w:vAnchor="page" w:hAnchor="page" w:x="1218" w:y="712"/>
        <w:rPr>
          <w:lang w:val="en-GB"/>
        </w:rPr>
      </w:pPr>
      <w:r w:rsidRPr="00A2086F">
        <w:rPr>
          <w:rStyle w:val="Fejlcvagylblc"/>
          <w:lang w:val="en-GB"/>
        </w:rPr>
        <w:t>Document Version: 2p03</w:t>
      </w:r>
    </w:p>
    <w:p w14:paraId="7D1E519C" w14:textId="77777777" w:rsidR="00E85E43" w:rsidRPr="00A2086F" w:rsidRDefault="00A2086F" w:rsidP="00A2086F">
      <w:pPr>
        <w:pStyle w:val="Fejlcvagylblc0"/>
        <w:framePr w:w="4171" w:h="509" w:hRule="exact" w:wrap="none" w:vAnchor="page" w:hAnchor="page" w:x="6916" w:y="712"/>
        <w:jc w:val="right"/>
        <w:rPr>
          <w:lang w:val="en-GB"/>
        </w:rPr>
      </w:pPr>
      <w:r w:rsidRPr="00A2086F">
        <w:rPr>
          <w:rStyle w:val="Fejlcvagylblc"/>
          <w:lang w:val="en-GB"/>
        </w:rPr>
        <w:t>Approved by: Head of the Marketing Department</w:t>
      </w:r>
    </w:p>
    <w:p w14:paraId="0F2DC749" w14:textId="77777777" w:rsidR="00E85E43" w:rsidRPr="00A2086F" w:rsidRDefault="00A2086F" w:rsidP="00A2086F">
      <w:pPr>
        <w:pStyle w:val="Fejlcvagylblc0"/>
        <w:framePr w:w="4171" w:h="509" w:hRule="exact" w:wrap="none" w:vAnchor="page" w:hAnchor="page" w:x="6916" w:y="712"/>
        <w:jc w:val="right"/>
        <w:rPr>
          <w:lang w:val="en-GB"/>
        </w:rPr>
      </w:pPr>
      <w:r w:rsidRPr="00A2086F">
        <w:rPr>
          <w:rStyle w:val="Fejlcvagylblc"/>
          <w:lang w:val="en-GB"/>
        </w:rPr>
        <w:t>Effective from: 12 May 2026 (until revoked)</w:t>
      </w:r>
    </w:p>
    <w:p w14:paraId="6A42E780" w14:textId="77777777" w:rsidR="00E85E43" w:rsidRPr="00A2086F" w:rsidRDefault="00A2086F">
      <w:pPr>
        <w:pStyle w:val="Szvegtrzs1"/>
        <w:framePr w:w="9139" w:h="13550" w:hRule="exact" w:wrap="none" w:vAnchor="page" w:hAnchor="page" w:x="1381" w:y="1466"/>
        <w:spacing w:after="0"/>
        <w:jc w:val="both"/>
        <w:rPr>
          <w:lang w:val="en-GB"/>
        </w:rPr>
      </w:pPr>
      <w:r w:rsidRPr="00A2086F">
        <w:rPr>
          <w:rStyle w:val="Szvegtrzs"/>
          <w:lang w:val="en-GB"/>
        </w:rPr>
        <w:t>The data subject has the right to object, on grounds relating to their particular situation, at any time to the processing of their personal data based on Article 6(1)(e) or (f) GDPR.</w:t>
      </w:r>
    </w:p>
    <w:p w14:paraId="23B80B3E" w14:textId="77777777" w:rsidR="00E85E43" w:rsidRPr="00A2086F" w:rsidRDefault="00A2086F">
      <w:pPr>
        <w:pStyle w:val="Szvegtrzs1"/>
        <w:framePr w:w="9139" w:h="13550" w:hRule="exact" w:wrap="none" w:vAnchor="page" w:hAnchor="page" w:x="1381" w:y="1466"/>
        <w:jc w:val="both"/>
        <w:rPr>
          <w:spacing w:val="-4"/>
          <w:lang w:val="en-GB"/>
        </w:rPr>
      </w:pPr>
      <w:r w:rsidRPr="00A2086F">
        <w:rPr>
          <w:rStyle w:val="Szvegtrzs"/>
          <w:spacing w:val="-4"/>
          <w:lang w:val="en-GB"/>
        </w:rPr>
        <w:t>In this case, the Controller may no longer process the personal data unless it demonstrates compelling legitimate grounds for the processing which override the interests, rights and freedoms of the data subject.</w:t>
      </w:r>
    </w:p>
    <w:p w14:paraId="66941905" w14:textId="77777777" w:rsidR="00E85E43" w:rsidRPr="00A2086F" w:rsidRDefault="00A2086F">
      <w:pPr>
        <w:pStyle w:val="Cmsor10"/>
        <w:framePr w:w="9139" w:h="13550" w:hRule="exact" w:wrap="none" w:vAnchor="page" w:hAnchor="page" w:x="1381" w:y="1466"/>
        <w:spacing w:after="0"/>
        <w:jc w:val="both"/>
        <w:rPr>
          <w:lang w:val="en-GB"/>
        </w:rPr>
      </w:pPr>
      <w:bookmarkStart w:id="9" w:name="bookmark20"/>
      <w:r w:rsidRPr="00A2086F">
        <w:rPr>
          <w:rStyle w:val="Cmsor1"/>
          <w:b/>
          <w:bCs/>
          <w:lang w:val="en-GB"/>
        </w:rPr>
        <w:t>Right to restriction of processing (Article 18 GDPR)</w:t>
      </w:r>
      <w:bookmarkEnd w:id="9"/>
    </w:p>
    <w:p w14:paraId="5A90CA4D" w14:textId="77777777" w:rsidR="00E85E43" w:rsidRPr="00A2086F" w:rsidRDefault="00A2086F">
      <w:pPr>
        <w:pStyle w:val="Szvegtrzs1"/>
        <w:framePr w:w="9139" w:h="13550" w:hRule="exact" w:wrap="none" w:vAnchor="page" w:hAnchor="page" w:x="1381" w:y="1466"/>
        <w:spacing w:after="0"/>
        <w:jc w:val="both"/>
        <w:rPr>
          <w:lang w:val="en-GB"/>
        </w:rPr>
      </w:pPr>
      <w:r w:rsidRPr="00A2086F">
        <w:rPr>
          <w:rStyle w:val="Szvegtrzs"/>
          <w:lang w:val="en-GB"/>
        </w:rPr>
        <w:t>The data subject has the right to obtain from the Controller, upon request, restriction of processing where any of the conditions set out in the GDPR apply, in which case the Controller shall not perform any operation on the data other than storage.</w:t>
      </w:r>
    </w:p>
    <w:p w14:paraId="7FADE4FA" w14:textId="77777777" w:rsidR="00E85E43" w:rsidRPr="00A2086F" w:rsidRDefault="00A2086F">
      <w:pPr>
        <w:pStyle w:val="Szvegtrzs1"/>
        <w:framePr w:w="9139" w:h="13550" w:hRule="exact" w:wrap="none" w:vAnchor="page" w:hAnchor="page" w:x="1381" w:y="1466"/>
        <w:jc w:val="both"/>
        <w:rPr>
          <w:lang w:val="en-GB"/>
        </w:rPr>
      </w:pPr>
      <w:r w:rsidRPr="00A2086F">
        <w:rPr>
          <w:rStyle w:val="Szvegtrzs"/>
          <w:lang w:val="en-GB"/>
        </w:rPr>
        <w:t>Where the data subject has objected to processing, the restriction shall apply for the period pending verification whether the legitimate grounds of the Controller override the legitimate grounds of the data subject.</w:t>
      </w:r>
    </w:p>
    <w:p w14:paraId="4D36586F" w14:textId="77777777" w:rsidR="00E85E43" w:rsidRPr="00A2086F" w:rsidRDefault="00A2086F">
      <w:pPr>
        <w:pStyle w:val="Cmsor10"/>
        <w:framePr w:w="9139" w:h="13550" w:hRule="exact" w:wrap="none" w:vAnchor="page" w:hAnchor="page" w:x="1381" w:y="1466"/>
        <w:spacing w:after="0"/>
        <w:jc w:val="both"/>
        <w:rPr>
          <w:lang w:val="en-GB"/>
        </w:rPr>
      </w:pPr>
      <w:bookmarkStart w:id="10" w:name="bookmark22"/>
      <w:r w:rsidRPr="00A2086F">
        <w:rPr>
          <w:rStyle w:val="Cmsor1"/>
          <w:b/>
          <w:bCs/>
          <w:lang w:val="en-GB"/>
        </w:rPr>
        <w:t>Right to erasure (right to be forgotten) (Article 17 GDPR)</w:t>
      </w:r>
      <w:bookmarkEnd w:id="10"/>
    </w:p>
    <w:p w14:paraId="38EB7FDA" w14:textId="77777777" w:rsidR="00E85E43" w:rsidRPr="00A2086F" w:rsidRDefault="00A2086F">
      <w:pPr>
        <w:pStyle w:val="Szvegtrzs1"/>
        <w:framePr w:w="9139" w:h="13550" w:hRule="exact" w:wrap="none" w:vAnchor="page" w:hAnchor="page" w:x="1381" w:y="1466"/>
        <w:jc w:val="both"/>
        <w:rPr>
          <w:lang w:val="en-GB"/>
        </w:rPr>
      </w:pPr>
      <w:r w:rsidRPr="00A2086F">
        <w:rPr>
          <w:rStyle w:val="Szvegtrzs"/>
          <w:lang w:val="en-GB"/>
        </w:rPr>
        <w:t>The data subject has the right to obtain from the Controller the erasure of personal data concerning them without undue delay if the processing no longer has a purpose, if they have withdrawn their consent and there is no other legal basis for the processing, if, in the event of an objection, there are no overriding legitimate grounds for the processing, or if the data have been processed unlawfully from the outset, and also if the data must be erased for compliance with a legal obligation. Where the Controller has made the personal data public and is obliged to erase them, the Controller shall, taking into account the available technology and the cost of implementation, take reasonable steps, including technical measures, to inform the controllers processing the data that the data subject has requested the erasure by such controllers of any links to, or copies or replications of, those personal data.</w:t>
      </w:r>
    </w:p>
    <w:p w14:paraId="3D94ACC1" w14:textId="77777777" w:rsidR="00E85E43" w:rsidRPr="00A2086F" w:rsidRDefault="00A2086F">
      <w:pPr>
        <w:pStyle w:val="Cmsor10"/>
        <w:framePr w:w="9139" w:h="13550" w:hRule="exact" w:wrap="none" w:vAnchor="page" w:hAnchor="page" w:x="1381" w:y="1466"/>
        <w:spacing w:after="0"/>
        <w:jc w:val="both"/>
        <w:rPr>
          <w:lang w:val="en-GB"/>
        </w:rPr>
      </w:pPr>
      <w:bookmarkStart w:id="11" w:name="bookmark24"/>
      <w:r w:rsidRPr="00A2086F">
        <w:rPr>
          <w:rStyle w:val="Cmsor1"/>
          <w:b/>
          <w:bCs/>
          <w:lang w:val="en-GB"/>
        </w:rPr>
        <w:t>Right to data portability (Article 20 GDPR)</w:t>
      </w:r>
      <w:bookmarkEnd w:id="11"/>
    </w:p>
    <w:p w14:paraId="0BB44ACC" w14:textId="77777777" w:rsidR="00E85E43" w:rsidRPr="00A2086F" w:rsidRDefault="00A2086F">
      <w:pPr>
        <w:pStyle w:val="Szvegtrzs1"/>
        <w:framePr w:w="9139" w:h="13550" w:hRule="exact" w:wrap="none" w:vAnchor="page" w:hAnchor="page" w:x="1381" w:y="1466"/>
        <w:jc w:val="both"/>
        <w:rPr>
          <w:lang w:val="en-GB"/>
        </w:rPr>
      </w:pPr>
      <w:r w:rsidRPr="00A2086F">
        <w:rPr>
          <w:rStyle w:val="Szvegtrzs"/>
          <w:lang w:val="en-GB"/>
        </w:rPr>
        <w:t>The data subject has the right to receive the personal data concerning them, which they have provided to the Controller, in a structured, commonly used and machine-readable format, and has the right to transmit those data to another controller without hindrance from the Controller to which the personal data have been provided, where the legal conditions are met.</w:t>
      </w:r>
    </w:p>
    <w:p w14:paraId="1EA6300E" w14:textId="77777777" w:rsidR="00E85E43" w:rsidRPr="00A2086F" w:rsidRDefault="00A2086F">
      <w:pPr>
        <w:pStyle w:val="Cmsor10"/>
        <w:framePr w:w="9139" w:h="13550" w:hRule="exact" w:wrap="none" w:vAnchor="page" w:hAnchor="page" w:x="1381" w:y="1466"/>
        <w:numPr>
          <w:ilvl w:val="0"/>
          <w:numId w:val="6"/>
        </w:numPr>
        <w:tabs>
          <w:tab w:val="left" w:pos="350"/>
        </w:tabs>
        <w:jc w:val="both"/>
        <w:rPr>
          <w:lang w:val="en-GB"/>
        </w:rPr>
      </w:pPr>
      <w:bookmarkStart w:id="12" w:name="bookmark26"/>
      <w:r w:rsidRPr="00A2086F">
        <w:rPr>
          <w:rStyle w:val="Cmsor1"/>
          <w:b/>
          <w:bCs/>
          <w:lang w:val="en-GB"/>
        </w:rPr>
        <w:t>Remedies</w:t>
      </w:r>
      <w:bookmarkEnd w:id="12"/>
    </w:p>
    <w:p w14:paraId="688E488C" w14:textId="77777777" w:rsidR="00E85E43" w:rsidRPr="00A2086F" w:rsidRDefault="00A2086F">
      <w:pPr>
        <w:pStyle w:val="Cmsor10"/>
        <w:framePr w:w="9139" w:h="13550" w:hRule="exact" w:wrap="none" w:vAnchor="page" w:hAnchor="page" w:x="1381" w:y="1466"/>
        <w:numPr>
          <w:ilvl w:val="1"/>
          <w:numId w:val="7"/>
        </w:numPr>
        <w:tabs>
          <w:tab w:val="left" w:pos="987"/>
        </w:tabs>
        <w:ind w:firstLine="520"/>
        <w:jc w:val="both"/>
        <w:rPr>
          <w:lang w:val="en-GB"/>
        </w:rPr>
      </w:pPr>
      <w:r w:rsidRPr="00A2086F">
        <w:rPr>
          <w:rStyle w:val="Cmsor1"/>
          <w:b/>
          <w:bCs/>
          <w:lang w:val="en-GB"/>
        </w:rPr>
        <w:t>Right to lodge a complaint with the Controller</w:t>
      </w:r>
    </w:p>
    <w:p w14:paraId="35821D4B" w14:textId="77777777" w:rsidR="00E85E43" w:rsidRPr="00A2086F" w:rsidRDefault="00A2086F">
      <w:pPr>
        <w:pStyle w:val="Szvegtrzs1"/>
        <w:framePr w:w="9139" w:h="13550" w:hRule="exact" w:wrap="none" w:vAnchor="page" w:hAnchor="page" w:x="1381" w:y="1466"/>
        <w:spacing w:after="0"/>
        <w:jc w:val="both"/>
        <w:rPr>
          <w:lang w:val="en-GB"/>
        </w:rPr>
      </w:pPr>
      <w:r w:rsidRPr="00A2086F">
        <w:rPr>
          <w:rStyle w:val="Szvegtrzs"/>
          <w:lang w:val="en-GB"/>
        </w:rPr>
        <w:t>The data subject may lodge a complaint, or submit any question or request, to the Controller in connection with the processing of personal data concerning them. The contact details of the competent employee of Nitrogénművek Zrt. are as follows: Dr. Miklós Papp</w:t>
      </w:r>
    </w:p>
    <w:p w14:paraId="5BAA9871" w14:textId="77777777" w:rsidR="00E85E43" w:rsidRPr="00A2086F" w:rsidRDefault="00A2086F">
      <w:pPr>
        <w:pStyle w:val="Szvegtrzs1"/>
        <w:framePr w:w="9139" w:h="13550" w:hRule="exact" w:wrap="none" w:vAnchor="page" w:hAnchor="page" w:x="1381" w:y="1466"/>
        <w:spacing w:after="0"/>
        <w:jc w:val="both"/>
        <w:rPr>
          <w:lang w:val="en-GB"/>
        </w:rPr>
      </w:pPr>
      <w:r w:rsidRPr="00A2086F">
        <w:rPr>
          <w:rStyle w:val="Szvegtrzs"/>
          <w:lang w:val="en-GB"/>
        </w:rPr>
        <w:t>Address: 8105 Pétfürdő, Hősök tere 14.</w:t>
      </w:r>
    </w:p>
    <w:p w14:paraId="3AA70ADB" w14:textId="77777777" w:rsidR="00E85E43" w:rsidRPr="00A2086F" w:rsidRDefault="00A2086F">
      <w:pPr>
        <w:pStyle w:val="Szvegtrzs1"/>
        <w:framePr w:w="9139" w:h="13550" w:hRule="exact" w:wrap="none" w:vAnchor="page" w:hAnchor="page" w:x="1381" w:y="1466"/>
        <w:spacing w:after="0"/>
        <w:jc w:val="both"/>
        <w:rPr>
          <w:lang w:val="en-GB"/>
        </w:rPr>
      </w:pPr>
      <w:r w:rsidRPr="00A2086F">
        <w:rPr>
          <w:rStyle w:val="Szvegtrzs"/>
          <w:lang w:val="en-GB"/>
        </w:rPr>
        <w:t>Email address:</w:t>
      </w:r>
      <w:hyperlink r:id="rId9" w:history="1">
        <w:r w:rsidRPr="00A2086F">
          <w:rPr>
            <w:rStyle w:val="Szvegtrzs"/>
            <w:lang w:val="en-GB"/>
          </w:rPr>
          <w:t xml:space="preserve"> </w:t>
        </w:r>
        <w:r w:rsidRPr="00A2086F">
          <w:rPr>
            <w:rStyle w:val="Szvegtrzs"/>
            <w:color w:val="0563C1"/>
            <w:u w:val="single"/>
            <w:lang w:val="en-GB"/>
          </w:rPr>
          <w:t>gdprcsoport@nitrogen.hu</w:t>
        </w:r>
      </w:hyperlink>
    </w:p>
    <w:p w14:paraId="35584B4D" w14:textId="77777777" w:rsidR="00E85E43" w:rsidRPr="00A2086F" w:rsidRDefault="00A2086F">
      <w:pPr>
        <w:pStyle w:val="Szvegtrzs1"/>
        <w:framePr w:w="9139" w:h="13550" w:hRule="exact" w:wrap="none" w:vAnchor="page" w:hAnchor="page" w:x="1381" w:y="1466"/>
        <w:spacing w:after="720"/>
        <w:jc w:val="both"/>
        <w:rPr>
          <w:lang w:val="en-GB"/>
        </w:rPr>
      </w:pPr>
      <w:r w:rsidRPr="00A2086F">
        <w:rPr>
          <w:rStyle w:val="Szvegtrzs"/>
          <w:lang w:val="en-GB"/>
        </w:rPr>
        <w:t>Phone: +36 30 1378995</w:t>
      </w:r>
    </w:p>
    <w:p w14:paraId="174D975A" w14:textId="77777777" w:rsidR="00E85E43" w:rsidRPr="00A2086F" w:rsidRDefault="00A2086F">
      <w:pPr>
        <w:pStyle w:val="Cmsor10"/>
        <w:framePr w:w="9139" w:h="13550" w:hRule="exact" w:wrap="none" w:vAnchor="page" w:hAnchor="page" w:x="1381" w:y="1466"/>
        <w:numPr>
          <w:ilvl w:val="1"/>
          <w:numId w:val="7"/>
        </w:numPr>
        <w:tabs>
          <w:tab w:val="left" w:pos="987"/>
        </w:tabs>
        <w:spacing w:after="440"/>
        <w:ind w:firstLine="520"/>
        <w:jc w:val="both"/>
        <w:rPr>
          <w:lang w:val="en-GB"/>
        </w:rPr>
      </w:pPr>
      <w:bookmarkStart w:id="13" w:name="bookmark29"/>
      <w:r w:rsidRPr="00A2086F">
        <w:rPr>
          <w:rStyle w:val="Cmsor1"/>
          <w:b/>
          <w:bCs/>
          <w:lang w:val="en-GB"/>
        </w:rPr>
        <w:t>Right to lodge a complaint with the supervisory authority</w:t>
      </w:r>
      <w:bookmarkEnd w:id="13"/>
    </w:p>
    <w:p w14:paraId="16B40B06" w14:textId="77777777" w:rsidR="00E85E43" w:rsidRPr="00A2086F" w:rsidRDefault="00A2086F">
      <w:pPr>
        <w:pStyle w:val="Szvegtrzs1"/>
        <w:framePr w:w="9139" w:h="13550" w:hRule="exact" w:wrap="none" w:vAnchor="page" w:hAnchor="page" w:x="1381" w:y="1466"/>
        <w:spacing w:after="0"/>
        <w:jc w:val="both"/>
        <w:rPr>
          <w:lang w:val="en-GB"/>
        </w:rPr>
      </w:pPr>
      <w:r w:rsidRPr="00A2086F">
        <w:rPr>
          <w:rStyle w:val="Szvegtrzs"/>
          <w:lang w:val="en-GB"/>
        </w:rPr>
        <w:t>Without prejudice to any other administrative or judicial remedy, every data subject has the right to lodge a complaint with the supervisory authority if they consider that the processing of personal data concerning them infringes the applicable legislation. The contact details of the supervisory authority are as follows:</w:t>
      </w:r>
    </w:p>
    <w:p w14:paraId="1417A8EB" w14:textId="77777777" w:rsidR="00E85E43" w:rsidRPr="00A2086F" w:rsidRDefault="00E85E43">
      <w:pPr>
        <w:spacing w:line="1" w:lineRule="exact"/>
        <w:rPr>
          <w:lang w:val="en-GB"/>
        </w:rPr>
        <w:sectPr w:rsidR="00E85E43" w:rsidRPr="00A2086F">
          <w:pgSz w:w="11900" w:h="16840"/>
          <w:pgMar w:top="418" w:right="360" w:bottom="360" w:left="360" w:header="0" w:footer="3" w:gutter="0"/>
          <w:cols w:space="720"/>
          <w:noEndnote/>
          <w:docGrid w:linePitch="360"/>
        </w:sectPr>
      </w:pPr>
    </w:p>
    <w:p w14:paraId="6AB7FAA3" w14:textId="77777777" w:rsidR="00E85E43" w:rsidRPr="00A2086F" w:rsidRDefault="00E85E43">
      <w:pPr>
        <w:spacing w:line="1" w:lineRule="exact"/>
        <w:rPr>
          <w:lang w:val="en-GB"/>
        </w:rPr>
      </w:pPr>
    </w:p>
    <w:p w14:paraId="2F17330E" w14:textId="77777777" w:rsidR="00E85E43" w:rsidRPr="00A2086F" w:rsidRDefault="00A2086F">
      <w:pPr>
        <w:pStyle w:val="Fejlcvagylblc0"/>
        <w:framePr w:w="2702" w:h="509" w:hRule="exact" w:wrap="none" w:vAnchor="page" w:hAnchor="page" w:x="1219" w:y="712"/>
        <w:rPr>
          <w:lang w:val="en-GB"/>
        </w:rPr>
      </w:pPr>
      <w:r w:rsidRPr="00A2086F">
        <w:rPr>
          <w:rStyle w:val="Fejlcvagylblc"/>
          <w:lang w:val="en-GB"/>
        </w:rPr>
        <w:t>Document ID: AT47</w:t>
      </w:r>
    </w:p>
    <w:p w14:paraId="280E72E2" w14:textId="77777777" w:rsidR="00E85E43" w:rsidRPr="00A2086F" w:rsidRDefault="00A2086F">
      <w:pPr>
        <w:pStyle w:val="Fejlcvagylblc0"/>
        <w:framePr w:w="2702" w:h="509" w:hRule="exact" w:wrap="none" w:vAnchor="page" w:hAnchor="page" w:x="1219" w:y="712"/>
        <w:rPr>
          <w:lang w:val="en-GB"/>
        </w:rPr>
      </w:pPr>
      <w:r w:rsidRPr="00A2086F">
        <w:rPr>
          <w:rStyle w:val="Fejlcvagylblc"/>
          <w:lang w:val="en-GB"/>
        </w:rPr>
        <w:t>Document Version: 2p03</w:t>
      </w:r>
    </w:p>
    <w:p w14:paraId="4D5A16ED" w14:textId="77777777" w:rsidR="00E85E43" w:rsidRPr="00A2086F" w:rsidRDefault="00A2086F" w:rsidP="00A2086F">
      <w:pPr>
        <w:pStyle w:val="Fejlcvagylblc0"/>
        <w:framePr w:w="4501" w:h="509" w:hRule="exact" w:wrap="none" w:vAnchor="page" w:hAnchor="page" w:x="6586" w:y="712"/>
        <w:jc w:val="right"/>
        <w:rPr>
          <w:lang w:val="en-GB"/>
        </w:rPr>
      </w:pPr>
      <w:r w:rsidRPr="00A2086F">
        <w:rPr>
          <w:rStyle w:val="Fejlcvagylblc"/>
          <w:lang w:val="en-GB"/>
        </w:rPr>
        <w:t>Approved by: Head of the Marketing Department</w:t>
      </w:r>
    </w:p>
    <w:p w14:paraId="142E5F3D" w14:textId="77777777" w:rsidR="00E85E43" w:rsidRPr="00A2086F" w:rsidRDefault="00A2086F" w:rsidP="00A2086F">
      <w:pPr>
        <w:pStyle w:val="Fejlcvagylblc0"/>
        <w:framePr w:w="4501" w:h="509" w:hRule="exact" w:wrap="none" w:vAnchor="page" w:hAnchor="page" w:x="6586" w:y="712"/>
        <w:jc w:val="right"/>
        <w:rPr>
          <w:lang w:val="en-GB"/>
        </w:rPr>
      </w:pPr>
      <w:r w:rsidRPr="00A2086F">
        <w:rPr>
          <w:rStyle w:val="Fejlcvagylblc"/>
          <w:lang w:val="en-GB"/>
        </w:rPr>
        <w:t>Effective from: 12 May 2026 (until revoked)</w:t>
      </w:r>
    </w:p>
    <w:p w14:paraId="5208522B" w14:textId="77777777" w:rsidR="00E85E43" w:rsidRPr="00A2086F" w:rsidRDefault="00A2086F" w:rsidP="00A2086F">
      <w:pPr>
        <w:pStyle w:val="Szvegtrzs1"/>
        <w:framePr w:w="9139" w:h="5941" w:hRule="exact" w:wrap="none" w:vAnchor="page" w:hAnchor="page" w:x="1382" w:y="1466"/>
        <w:spacing w:after="0"/>
        <w:jc w:val="both"/>
        <w:rPr>
          <w:lang w:val="en-GB"/>
        </w:rPr>
      </w:pPr>
      <w:r w:rsidRPr="00A2086F">
        <w:rPr>
          <w:rStyle w:val="Szvegtrzs"/>
          <w:lang w:val="en-GB"/>
        </w:rPr>
        <w:t>National Authority for Data Protection and Freedom of Information</w:t>
      </w:r>
    </w:p>
    <w:p w14:paraId="24451F81" w14:textId="77777777" w:rsidR="00E85E43" w:rsidRPr="00A2086F" w:rsidRDefault="00A2086F" w:rsidP="00A2086F">
      <w:pPr>
        <w:pStyle w:val="Szvegtrzs1"/>
        <w:framePr w:w="9139" w:h="5941" w:hRule="exact" w:wrap="none" w:vAnchor="page" w:hAnchor="page" w:x="1382" w:y="1466"/>
        <w:spacing w:after="0"/>
        <w:jc w:val="both"/>
        <w:rPr>
          <w:lang w:val="en-GB"/>
        </w:rPr>
      </w:pPr>
      <w:r w:rsidRPr="00A2086F">
        <w:rPr>
          <w:rStyle w:val="Szvegtrzs"/>
          <w:lang w:val="en-GB"/>
        </w:rPr>
        <w:t>Abbreviated name: NAIH</w:t>
      </w:r>
    </w:p>
    <w:p w14:paraId="0AD65037" w14:textId="77777777" w:rsidR="00E85E43" w:rsidRPr="00A2086F" w:rsidRDefault="00A2086F" w:rsidP="00A2086F">
      <w:pPr>
        <w:pStyle w:val="Szvegtrzs1"/>
        <w:framePr w:w="9139" w:h="5941" w:hRule="exact" w:wrap="none" w:vAnchor="page" w:hAnchor="page" w:x="1382" w:y="1466"/>
        <w:spacing w:after="0"/>
        <w:jc w:val="both"/>
        <w:rPr>
          <w:lang w:val="en-GB"/>
        </w:rPr>
      </w:pPr>
      <w:r w:rsidRPr="00A2086F">
        <w:rPr>
          <w:rStyle w:val="Szvegtrzs"/>
          <w:lang w:val="en-GB"/>
        </w:rPr>
        <w:t>Registered office: 1055 Budapest, Falk Miksa utca 9-11.</w:t>
      </w:r>
    </w:p>
    <w:p w14:paraId="5ACFF1DF" w14:textId="77777777" w:rsidR="00E85E43" w:rsidRPr="00A2086F" w:rsidRDefault="00A2086F" w:rsidP="00A2086F">
      <w:pPr>
        <w:pStyle w:val="Szvegtrzs1"/>
        <w:framePr w:w="9139" w:h="5941" w:hRule="exact" w:wrap="none" w:vAnchor="page" w:hAnchor="page" w:x="1382" w:y="1466"/>
        <w:spacing w:after="0"/>
        <w:jc w:val="both"/>
        <w:rPr>
          <w:lang w:val="en-GB"/>
        </w:rPr>
      </w:pPr>
      <w:r w:rsidRPr="00A2086F">
        <w:rPr>
          <w:rStyle w:val="Szvegtrzs"/>
          <w:lang w:val="en-GB"/>
        </w:rPr>
        <w:t>Mailing address: 1363 Budapest, Pf. 9.</w:t>
      </w:r>
    </w:p>
    <w:p w14:paraId="767ED213" w14:textId="77777777" w:rsidR="00E85E43" w:rsidRPr="00A2086F" w:rsidRDefault="00A2086F" w:rsidP="00A2086F">
      <w:pPr>
        <w:pStyle w:val="Szvegtrzs1"/>
        <w:framePr w:w="9139" w:h="5941" w:hRule="exact" w:wrap="none" w:vAnchor="page" w:hAnchor="page" w:x="1382" w:y="1466"/>
        <w:spacing w:after="0"/>
        <w:jc w:val="both"/>
        <w:rPr>
          <w:lang w:val="en-GB"/>
        </w:rPr>
      </w:pPr>
      <w:r w:rsidRPr="00A2086F">
        <w:rPr>
          <w:rStyle w:val="Szvegtrzs"/>
          <w:lang w:val="en-GB"/>
        </w:rPr>
        <w:t>Email address:</w:t>
      </w:r>
      <w:hyperlink r:id="rId10" w:history="1">
        <w:r w:rsidRPr="00A2086F">
          <w:rPr>
            <w:rStyle w:val="Szvegtrzs"/>
            <w:lang w:val="en-GB"/>
          </w:rPr>
          <w:t xml:space="preserve"> </w:t>
        </w:r>
        <w:r w:rsidRPr="00A2086F">
          <w:rPr>
            <w:rStyle w:val="Szvegtrzs"/>
            <w:color w:val="0563C1"/>
            <w:u w:val="single"/>
            <w:lang w:val="en-GB"/>
          </w:rPr>
          <w:t>ugyfelszolgalat@naih.hu</w:t>
        </w:r>
      </w:hyperlink>
    </w:p>
    <w:p w14:paraId="7A4E097A" w14:textId="77777777" w:rsidR="00E85E43" w:rsidRPr="00A2086F" w:rsidRDefault="00A2086F" w:rsidP="00A2086F">
      <w:pPr>
        <w:pStyle w:val="Szvegtrzs1"/>
        <w:framePr w:w="9139" w:h="5941" w:hRule="exact" w:wrap="none" w:vAnchor="page" w:hAnchor="page" w:x="1382" w:y="1466"/>
        <w:spacing w:after="0"/>
        <w:jc w:val="both"/>
        <w:rPr>
          <w:lang w:val="en-GB"/>
        </w:rPr>
      </w:pPr>
      <w:r w:rsidRPr="00A2086F">
        <w:rPr>
          <w:rStyle w:val="Szvegtrzs"/>
          <w:lang w:val="en-GB"/>
        </w:rPr>
        <w:t>Phone: +36 (1) 391-1400</w:t>
      </w:r>
    </w:p>
    <w:p w14:paraId="1ECE80CA" w14:textId="77777777" w:rsidR="00E85E43" w:rsidRPr="00A2086F" w:rsidRDefault="00A2086F" w:rsidP="00A2086F">
      <w:pPr>
        <w:pStyle w:val="Szvegtrzs1"/>
        <w:framePr w:w="9139" w:h="5941" w:hRule="exact" w:wrap="none" w:vAnchor="page" w:hAnchor="page" w:x="1382" w:y="1466"/>
        <w:spacing w:after="0"/>
        <w:jc w:val="both"/>
        <w:rPr>
          <w:lang w:val="en-GB"/>
        </w:rPr>
      </w:pPr>
      <w:r w:rsidRPr="00A2086F">
        <w:rPr>
          <w:rStyle w:val="Szvegtrzs"/>
          <w:lang w:val="en-GB"/>
        </w:rPr>
        <w:t>Fax: +36 (1) 391-1410</w:t>
      </w:r>
    </w:p>
    <w:p w14:paraId="732F7569" w14:textId="77777777" w:rsidR="00E85E43" w:rsidRPr="00A2086F" w:rsidRDefault="00A2086F" w:rsidP="00A2086F">
      <w:pPr>
        <w:pStyle w:val="Szvegtrzs1"/>
        <w:framePr w:w="9139" w:h="5941" w:hRule="exact" w:wrap="none" w:vAnchor="page" w:hAnchor="page" w:x="1382" w:y="1466"/>
        <w:jc w:val="both"/>
        <w:rPr>
          <w:lang w:val="en-GB"/>
        </w:rPr>
      </w:pPr>
      <w:r w:rsidRPr="00A2086F">
        <w:rPr>
          <w:rStyle w:val="Szvegtrzs"/>
          <w:lang w:val="en-GB"/>
        </w:rPr>
        <w:t>Website:</w:t>
      </w:r>
      <w:hyperlink r:id="rId11" w:history="1">
        <w:r w:rsidRPr="00A2086F">
          <w:rPr>
            <w:rStyle w:val="Szvegtrzs"/>
            <w:lang w:val="en-GB"/>
          </w:rPr>
          <w:t xml:space="preserve"> </w:t>
        </w:r>
        <w:r w:rsidRPr="00A2086F">
          <w:rPr>
            <w:rStyle w:val="Szvegtrzs"/>
            <w:color w:val="0563C1"/>
            <w:u w:val="single"/>
            <w:lang w:val="en-GB"/>
          </w:rPr>
          <w:t>http://naih.hu</w:t>
        </w:r>
      </w:hyperlink>
    </w:p>
    <w:p w14:paraId="7EB8278A" w14:textId="77777777" w:rsidR="00E85E43" w:rsidRPr="00A2086F" w:rsidRDefault="00A2086F" w:rsidP="00A2086F">
      <w:pPr>
        <w:pStyle w:val="Cmsor10"/>
        <w:framePr w:w="9139" w:h="5941" w:hRule="exact" w:wrap="none" w:vAnchor="page" w:hAnchor="page" w:x="1382" w:y="1466"/>
        <w:numPr>
          <w:ilvl w:val="1"/>
          <w:numId w:val="8"/>
        </w:numPr>
        <w:tabs>
          <w:tab w:val="left" w:pos="1046"/>
        </w:tabs>
        <w:ind w:left="993" w:hanging="473"/>
        <w:jc w:val="both"/>
        <w:rPr>
          <w:lang w:val="en-GB"/>
        </w:rPr>
      </w:pPr>
      <w:bookmarkStart w:id="14" w:name="bookmark31"/>
      <w:r w:rsidRPr="00A2086F">
        <w:rPr>
          <w:rStyle w:val="Cmsor1"/>
          <w:b/>
          <w:bCs/>
          <w:lang w:val="en-GB"/>
        </w:rPr>
        <w:t>Possibility of bringing legal proceedings before the court having jurisdiction according to the data subject’s place of residence or place of stay</w:t>
      </w:r>
      <w:bookmarkEnd w:id="14"/>
    </w:p>
    <w:p w14:paraId="79D1D6A2" w14:textId="77777777" w:rsidR="00E85E43" w:rsidRPr="00A2086F" w:rsidRDefault="00A2086F" w:rsidP="00A2086F">
      <w:pPr>
        <w:pStyle w:val="Szvegtrzs1"/>
        <w:framePr w:w="9139" w:h="5941" w:hRule="exact" w:wrap="none" w:vAnchor="page" w:hAnchor="page" w:x="1382" w:y="1466"/>
        <w:jc w:val="both"/>
        <w:rPr>
          <w:lang w:val="en-GB"/>
        </w:rPr>
      </w:pPr>
      <w:r w:rsidRPr="00A2086F">
        <w:rPr>
          <w:rStyle w:val="Szvegtrzs"/>
          <w:lang w:val="en-GB"/>
        </w:rPr>
        <w:t>The data subject may bring proceedings before a court against the Controller or, in relation to processing operations falling within the scope of the Processor’s activities, against the Processor, if they consider that the Controller or the Processor engaged by or acting on the instructions of the Controller processes their personal data in breach of the requirements laid down in legislation or in a binding legal act of the European Union concerning the processing of personal data.</w:t>
      </w:r>
    </w:p>
    <w:p w14:paraId="02240EA6" w14:textId="77777777" w:rsidR="00E85E43" w:rsidRPr="00A2086F" w:rsidRDefault="00A2086F" w:rsidP="00A2086F">
      <w:pPr>
        <w:pStyle w:val="Szvegtrzs1"/>
        <w:framePr w:w="9139" w:h="5941" w:hRule="exact" w:wrap="none" w:vAnchor="page" w:hAnchor="page" w:x="1382" w:y="1466"/>
        <w:spacing w:after="0"/>
        <w:jc w:val="both"/>
        <w:rPr>
          <w:lang w:val="en-GB"/>
        </w:rPr>
      </w:pPr>
      <w:r w:rsidRPr="00A2086F">
        <w:rPr>
          <w:rStyle w:val="Szvegtrzs"/>
          <w:lang w:val="en-GB"/>
        </w:rPr>
        <w:t xml:space="preserve">The data subject may find the court having jurisdiction according to their place of residence here: </w:t>
      </w:r>
      <w:hyperlink r:id="rId12" w:history="1">
        <w:r w:rsidRPr="00A2086F">
          <w:rPr>
            <w:rStyle w:val="Szvegtrzs"/>
            <w:lang w:val="en-GB"/>
          </w:rPr>
          <w:t>https://birosag.hu/birosag-kereso</w:t>
        </w:r>
      </w:hyperlink>
    </w:p>
    <w:p w14:paraId="3C52AB48" w14:textId="77777777" w:rsidR="00E85E43" w:rsidRPr="00A2086F" w:rsidRDefault="00E85E43">
      <w:pPr>
        <w:spacing w:line="1" w:lineRule="exact"/>
        <w:rPr>
          <w:lang w:val="en-GB"/>
        </w:rPr>
      </w:pPr>
    </w:p>
    <w:sectPr w:rsidR="00E85E43" w:rsidRPr="00A2086F">
      <w:pgSz w:w="11900" w:h="16840"/>
      <w:pgMar w:top="418"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7D00A" w14:textId="77777777" w:rsidR="00A2086F" w:rsidRDefault="00A2086F">
      <w:r>
        <w:separator/>
      </w:r>
    </w:p>
  </w:endnote>
  <w:endnote w:type="continuationSeparator" w:id="0">
    <w:p w14:paraId="639585F3" w14:textId="77777777" w:rsidR="00A2086F" w:rsidRDefault="00A2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CDFB8" w14:textId="77777777" w:rsidR="00E85E43" w:rsidRDefault="00E85E43"/>
  </w:footnote>
  <w:footnote w:type="continuationSeparator" w:id="0">
    <w:p w14:paraId="422232DE" w14:textId="77777777" w:rsidR="00E85E43" w:rsidRDefault="00E85E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C03E3"/>
    <w:multiLevelType w:val="multilevel"/>
    <w:tmpl w:val="82FECACA"/>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hu-HU" w:eastAsia="hu-HU"/>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BC5AA3"/>
    <w:multiLevelType w:val="multilevel"/>
    <w:tmpl w:val="DEBA149A"/>
    <w:lvl w:ilvl="0">
      <w:start w:val="8"/>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hu-HU" w:eastAsia="hu-HU"/>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E017AE"/>
    <w:multiLevelType w:val="multilevel"/>
    <w:tmpl w:val="4B52F666"/>
    <w:lvl w:ilvl="0">
      <w:start w:val="6"/>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hu-HU" w:eastAsia="hu-HU"/>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BC16E0"/>
    <w:multiLevelType w:val="multilevel"/>
    <w:tmpl w:val="88B06F3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hu-HU" w:eastAsia="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431841"/>
    <w:multiLevelType w:val="multilevel"/>
    <w:tmpl w:val="68AE7176"/>
    <w:lvl w:ilvl="0">
      <w:start w:val="8"/>
      <w:numFmt w:val="decimal"/>
      <w:lvlText w:val="%1."/>
      <w:lvlJc w:val="left"/>
    </w:lvl>
    <w:lvl w:ilvl="1">
      <w:start w:val="3"/>
      <w:numFmt w:val="decimal"/>
      <w:lvlText w:val="%1.%2."/>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hu-HU" w:eastAsia="hu-H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9C3A10"/>
    <w:multiLevelType w:val="multilevel"/>
    <w:tmpl w:val="6CC655B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hu-HU" w:eastAsia="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7A07CF"/>
    <w:multiLevelType w:val="multilevel"/>
    <w:tmpl w:val="70A037EA"/>
    <w:lvl w:ilvl="0">
      <w:start w:val="3"/>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hu-HU" w:eastAsia="hu-HU"/>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0A255AD"/>
    <w:multiLevelType w:val="multilevel"/>
    <w:tmpl w:val="32CC2E96"/>
    <w:lvl w:ilvl="0">
      <w:start w:val="8"/>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hu-HU" w:eastAsia="hu-H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3022920">
    <w:abstractNumId w:val="0"/>
  </w:num>
  <w:num w:numId="2" w16cid:durableId="1270624495">
    <w:abstractNumId w:val="6"/>
  </w:num>
  <w:num w:numId="3" w16cid:durableId="1122770635">
    <w:abstractNumId w:val="3"/>
  </w:num>
  <w:num w:numId="4" w16cid:durableId="320502155">
    <w:abstractNumId w:val="2"/>
  </w:num>
  <w:num w:numId="5" w16cid:durableId="93130973">
    <w:abstractNumId w:val="5"/>
  </w:num>
  <w:num w:numId="6" w16cid:durableId="1448740406">
    <w:abstractNumId w:val="1"/>
  </w:num>
  <w:num w:numId="7" w16cid:durableId="1927836117">
    <w:abstractNumId w:val="7"/>
  </w:num>
  <w:num w:numId="8" w16cid:durableId="1684740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E43"/>
    <w:rsid w:val="00406BB0"/>
    <w:rsid w:val="00543BB5"/>
    <w:rsid w:val="00546921"/>
    <w:rsid w:val="00A2086F"/>
    <w:rsid w:val="00E85E4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1A9B"/>
  <w15:docId w15:val="{FF9043AE-AF25-4E4F-8836-ADC60AF9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hu-HU" w:eastAsia="hu-H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Fejlcvagylblc2">
    <w:name w:val="Fejléc vagy lábléc (2)_"/>
    <w:basedOn w:val="Bekezdsalapbettpusa"/>
    <w:link w:val="Fejlcvagylblc20"/>
    <w:rPr>
      <w:rFonts w:ascii="Times New Roman" w:eastAsia="Times New Roman" w:hAnsi="Times New Roman" w:cs="Times New Roman"/>
      <w:b w:val="0"/>
      <w:bCs w:val="0"/>
      <w:i w:val="0"/>
      <w:iCs w:val="0"/>
      <w:smallCaps w:val="0"/>
      <w:strike w:val="0"/>
      <w:sz w:val="20"/>
      <w:szCs w:val="20"/>
      <w:u w:val="none"/>
    </w:rPr>
  </w:style>
  <w:style w:type="character" w:customStyle="1" w:styleId="Fejlcvagylblc">
    <w:name w:val="Fejléc vagy lábléc_"/>
    <w:basedOn w:val="Bekezdsalapbettpusa"/>
    <w:link w:val="Fejlcvagylblc0"/>
    <w:rPr>
      <w:rFonts w:ascii="Calibri" w:eastAsia="Calibri" w:hAnsi="Calibri" w:cs="Calibri"/>
      <w:b w:val="0"/>
      <w:bCs w:val="0"/>
      <w:i w:val="0"/>
      <w:iCs w:val="0"/>
      <w:smallCaps w:val="0"/>
      <w:strike w:val="0"/>
      <w:sz w:val="20"/>
      <w:szCs w:val="20"/>
      <w:u w:val="none"/>
    </w:rPr>
  </w:style>
  <w:style w:type="character" w:customStyle="1" w:styleId="Szvegtrzs">
    <w:name w:val="Szövegtörzs_"/>
    <w:basedOn w:val="Bekezdsalapbettpusa"/>
    <w:link w:val="Szvegtrzs1"/>
    <w:rPr>
      <w:rFonts w:ascii="Calibri" w:eastAsia="Calibri" w:hAnsi="Calibri" w:cs="Calibri"/>
      <w:b w:val="0"/>
      <w:bCs w:val="0"/>
      <w:i w:val="0"/>
      <w:iCs w:val="0"/>
      <w:smallCaps w:val="0"/>
      <w:strike w:val="0"/>
      <w:sz w:val="22"/>
      <w:szCs w:val="22"/>
      <w:u w:val="none"/>
    </w:rPr>
  </w:style>
  <w:style w:type="character" w:customStyle="1" w:styleId="Cmsor1">
    <w:name w:val="Címsor #1_"/>
    <w:basedOn w:val="Bekezdsalapbettpusa"/>
    <w:link w:val="Cmsor10"/>
    <w:rPr>
      <w:rFonts w:ascii="Calibri" w:eastAsia="Calibri" w:hAnsi="Calibri" w:cs="Calibri"/>
      <w:b/>
      <w:bCs/>
      <w:i w:val="0"/>
      <w:iCs w:val="0"/>
      <w:smallCaps w:val="0"/>
      <w:strike w:val="0"/>
      <w:sz w:val="22"/>
      <w:szCs w:val="22"/>
      <w:u w:val="none"/>
    </w:rPr>
  </w:style>
  <w:style w:type="character" w:customStyle="1" w:styleId="Egyb">
    <w:name w:val="Egyéb_"/>
    <w:basedOn w:val="Bekezdsalapbettpusa"/>
    <w:link w:val="Egyb0"/>
    <w:rPr>
      <w:rFonts w:ascii="Calibri" w:eastAsia="Calibri" w:hAnsi="Calibri" w:cs="Calibri"/>
      <w:b w:val="0"/>
      <w:bCs w:val="0"/>
      <w:i w:val="0"/>
      <w:iCs w:val="0"/>
      <w:smallCaps w:val="0"/>
      <w:strike w:val="0"/>
      <w:sz w:val="22"/>
      <w:szCs w:val="22"/>
      <w:u w:val="none"/>
    </w:rPr>
  </w:style>
  <w:style w:type="paragraph" w:customStyle="1" w:styleId="Fejlcvagylblc20">
    <w:name w:val="Fejléc vagy lábléc (2)"/>
    <w:basedOn w:val="Norml"/>
    <w:link w:val="Fejlcvagylblc2"/>
    <w:rPr>
      <w:rFonts w:ascii="Times New Roman" w:eastAsia="Times New Roman" w:hAnsi="Times New Roman" w:cs="Times New Roman"/>
      <w:sz w:val="20"/>
      <w:szCs w:val="20"/>
    </w:rPr>
  </w:style>
  <w:style w:type="paragraph" w:customStyle="1" w:styleId="Fejlcvagylblc0">
    <w:name w:val="Fejléc vagy lábléc"/>
    <w:basedOn w:val="Norml"/>
    <w:link w:val="Fejlcvagylblc"/>
    <w:rPr>
      <w:rFonts w:ascii="Calibri" w:eastAsia="Calibri" w:hAnsi="Calibri" w:cs="Calibri"/>
      <w:sz w:val="20"/>
      <w:szCs w:val="20"/>
    </w:rPr>
  </w:style>
  <w:style w:type="paragraph" w:customStyle="1" w:styleId="Szvegtrzs1">
    <w:name w:val="Szövegtörzs1"/>
    <w:basedOn w:val="Norml"/>
    <w:link w:val="Szvegtrzs"/>
    <w:pPr>
      <w:spacing w:after="260"/>
    </w:pPr>
    <w:rPr>
      <w:rFonts w:ascii="Calibri" w:eastAsia="Calibri" w:hAnsi="Calibri" w:cs="Calibri"/>
      <w:sz w:val="22"/>
      <w:szCs w:val="22"/>
    </w:rPr>
  </w:style>
  <w:style w:type="paragraph" w:customStyle="1" w:styleId="Cmsor10">
    <w:name w:val="Címsor #1"/>
    <w:basedOn w:val="Norml"/>
    <w:link w:val="Cmsor1"/>
    <w:pPr>
      <w:spacing w:after="260"/>
      <w:outlineLvl w:val="0"/>
    </w:pPr>
    <w:rPr>
      <w:rFonts w:ascii="Calibri" w:eastAsia="Calibri" w:hAnsi="Calibri" w:cs="Calibri"/>
      <w:b/>
      <w:bCs/>
      <w:sz w:val="22"/>
      <w:szCs w:val="22"/>
    </w:rPr>
  </w:style>
  <w:style w:type="paragraph" w:customStyle="1" w:styleId="Egyb0">
    <w:name w:val="Egyéb"/>
    <w:basedOn w:val="Norml"/>
    <w:link w:val="Egyb"/>
    <w:pPr>
      <w:spacing w:after="26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itrogen.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rt@nitrogen.hu" TargetMode="External"/><Relationship Id="rId12" Type="http://schemas.openxmlformats.org/officeDocument/2006/relationships/hyperlink" Target="https://birosag.hu/birosag-kere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ih.hu/" TargetMode="External"/><Relationship Id="rId5" Type="http://schemas.openxmlformats.org/officeDocument/2006/relationships/footnotes" Target="footnotes.xml"/><Relationship Id="rId10" Type="http://schemas.openxmlformats.org/officeDocument/2006/relationships/hyperlink" Target="mailto:ugyfelszolgalat@naih.hu" TargetMode="External"/><Relationship Id="rId4" Type="http://schemas.openxmlformats.org/officeDocument/2006/relationships/webSettings" Target="webSettings.xml"/><Relationship Id="rId9" Type="http://schemas.openxmlformats.org/officeDocument/2006/relationships/hyperlink" Target="mailto:gdprcsoport@nitrogen.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1671</Words>
  <Characters>11533</Characters>
  <Application>Microsoft Office Word</Application>
  <DocSecurity>4</DocSecurity>
  <Lines>96</Lines>
  <Paragraphs>26</Paragraphs>
  <ScaleCrop>false</ScaleCrop>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Sebestyén Emese</dc:creator>
  <cp:keywords/>
  <cp:lastModifiedBy>Petrovics Anna</cp:lastModifiedBy>
  <cp:revision>2</cp:revision>
  <dcterms:created xsi:type="dcterms:W3CDTF">2026-05-21T13:19:00Z</dcterms:created>
  <dcterms:modified xsi:type="dcterms:W3CDTF">2026-05-21T13:19:00Z</dcterms:modified>
</cp:coreProperties>
</file>